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62DE2" w14:textId="77777777" w:rsidR="002A187B" w:rsidRPr="007C5EBB" w:rsidRDefault="002A187B" w:rsidP="004D59A5">
      <w:pPr>
        <w:rPr>
          <w:rFonts w:ascii="Times New Roman" w:hAnsi="Times New Roman" w:cs="Times New Roman"/>
          <w:sz w:val="20"/>
          <w:szCs w:val="20"/>
        </w:rPr>
      </w:pPr>
      <w:bookmarkStart w:id="0" w:name="_GoBack"/>
      <w:bookmarkEnd w:id="0"/>
    </w:p>
    <w:p w14:paraId="6715B2BB" w14:textId="77777777" w:rsidR="007C5EBB" w:rsidRPr="007C5EBB" w:rsidRDefault="007C5EBB" w:rsidP="0027469F">
      <w:pPr>
        <w:jc w:val="center"/>
        <w:rPr>
          <w:rFonts w:ascii="Times New Roman" w:hAnsi="Times New Roman" w:cs="Times New Roman"/>
          <w:sz w:val="20"/>
          <w:szCs w:val="20"/>
        </w:rPr>
        <w:sectPr w:rsidR="007C5EBB" w:rsidRPr="007C5EBB" w:rsidSect="003D0635">
          <w:headerReference w:type="even" r:id="rId9"/>
          <w:headerReference w:type="default" r:id="rId10"/>
          <w:footerReference w:type="even" r:id="rId11"/>
          <w:footerReference w:type="default" r:id="rId12"/>
          <w:pgSz w:w="12240" w:h="15840"/>
          <w:pgMar w:top="1440" w:right="1440" w:bottom="1440" w:left="1440" w:header="720" w:footer="720" w:gutter="0"/>
          <w:pgNumType w:start="31"/>
          <w:cols w:space="720"/>
          <w:docGrid w:linePitch="360"/>
        </w:sectPr>
      </w:pPr>
    </w:p>
    <w:p w14:paraId="067B92B5" w14:textId="0EAB923C" w:rsidR="002A187B" w:rsidRPr="007C5EBB" w:rsidRDefault="00EE6901" w:rsidP="007C5EBB">
      <w:pPr>
        <w:rPr>
          <w:rFonts w:ascii="Times New Roman" w:hAnsi="Times New Roman" w:cs="Times New Roman"/>
          <w:b/>
          <w:sz w:val="20"/>
          <w:szCs w:val="20"/>
        </w:rPr>
      </w:pPr>
      <w:r w:rsidRPr="007C5EBB">
        <w:rPr>
          <w:rFonts w:ascii="Times New Roman" w:hAnsi="Times New Roman" w:cs="Times New Roman"/>
          <w:b/>
          <w:sz w:val="20"/>
          <w:szCs w:val="20"/>
        </w:rPr>
        <w:lastRenderedPageBreak/>
        <w:t>Correlations</w:t>
      </w:r>
      <w:r w:rsidR="000369A2" w:rsidRPr="007C5EBB">
        <w:rPr>
          <w:rFonts w:ascii="Times New Roman" w:hAnsi="Times New Roman" w:cs="Times New Roman"/>
          <w:b/>
          <w:sz w:val="20"/>
          <w:szCs w:val="20"/>
        </w:rPr>
        <w:t xml:space="preserve"> of Oral Health Practices Implemented at the Head Start and WIC Programs in Las Vegas, Nevada</w:t>
      </w:r>
    </w:p>
    <w:p w14:paraId="15895444" w14:textId="77777777" w:rsidR="000369A2" w:rsidRPr="007C5EBB" w:rsidRDefault="000369A2" w:rsidP="007C5EBB">
      <w:pPr>
        <w:rPr>
          <w:rFonts w:ascii="Times New Roman" w:hAnsi="Times New Roman" w:cs="Times New Roman"/>
          <w:sz w:val="20"/>
          <w:szCs w:val="20"/>
        </w:rPr>
      </w:pPr>
    </w:p>
    <w:p w14:paraId="327D3332" w14:textId="1D2C8BBA" w:rsidR="004D59A5" w:rsidRPr="007C5EBB" w:rsidRDefault="004D59A5" w:rsidP="007C5EBB">
      <w:pPr>
        <w:rPr>
          <w:rFonts w:ascii="Times New Roman" w:hAnsi="Times New Roman" w:cs="Times New Roman"/>
          <w:sz w:val="20"/>
          <w:szCs w:val="20"/>
        </w:rPr>
      </w:pPr>
      <w:r w:rsidRPr="007C5EBB">
        <w:rPr>
          <w:rFonts w:ascii="Times New Roman" w:hAnsi="Times New Roman" w:cs="Times New Roman"/>
          <w:sz w:val="20"/>
          <w:szCs w:val="20"/>
        </w:rPr>
        <w:t>Lily Hoang, DMD</w:t>
      </w:r>
      <w:r w:rsidR="002A187B" w:rsidRPr="007C5EBB">
        <w:rPr>
          <w:rFonts w:ascii="Times New Roman" w:hAnsi="Times New Roman" w:cs="Times New Roman"/>
          <w:sz w:val="20"/>
          <w:szCs w:val="20"/>
        </w:rPr>
        <w:t>, MBS</w:t>
      </w:r>
      <w:r w:rsidR="00196981" w:rsidRPr="007C5EBB">
        <w:rPr>
          <w:rFonts w:ascii="Times New Roman" w:hAnsi="Times New Roman" w:cs="Times New Roman"/>
          <w:sz w:val="20"/>
          <w:szCs w:val="20"/>
        </w:rPr>
        <w:t>, Christina A. Demopoulos, DDS, MPH, Connie Mobley, PhD, RD</w:t>
      </w:r>
    </w:p>
    <w:p w14:paraId="4C1C5859" w14:textId="3DFD69C1" w:rsidR="004D59A5" w:rsidRPr="007C5EBB" w:rsidRDefault="004D59A5" w:rsidP="002A187B">
      <w:pPr>
        <w:jc w:val="center"/>
        <w:rPr>
          <w:rFonts w:ascii="Times New Roman" w:hAnsi="Times New Roman" w:cs="Times New Roman"/>
          <w:sz w:val="20"/>
          <w:szCs w:val="20"/>
        </w:rPr>
      </w:pPr>
    </w:p>
    <w:p w14:paraId="701C55AA" w14:textId="77777777" w:rsidR="00D66ABE" w:rsidRDefault="00D66ABE" w:rsidP="004D59A5">
      <w:pPr>
        <w:rPr>
          <w:rFonts w:ascii="Times New Roman" w:hAnsi="Times New Roman" w:cs="Times New Roman"/>
          <w:sz w:val="20"/>
          <w:szCs w:val="20"/>
        </w:rPr>
      </w:pPr>
    </w:p>
    <w:p w14:paraId="6E6DD056" w14:textId="77777777" w:rsidR="00371915" w:rsidRPr="007C5EBB" w:rsidRDefault="00371915" w:rsidP="004D59A5">
      <w:pPr>
        <w:rPr>
          <w:rFonts w:ascii="Times New Roman" w:hAnsi="Times New Roman" w:cs="Times New Roman"/>
          <w:sz w:val="20"/>
          <w:szCs w:val="20"/>
        </w:rPr>
      </w:pPr>
    </w:p>
    <w:p w14:paraId="0655CCD4" w14:textId="15BEF25F" w:rsidR="00D66ABE" w:rsidRDefault="00BE115B" w:rsidP="00D66ABE">
      <w:pPr>
        <w:rPr>
          <w:rFonts w:ascii="Times New Roman" w:hAnsi="Times New Roman" w:cs="Times New Roman"/>
          <w:b/>
          <w:sz w:val="20"/>
          <w:szCs w:val="20"/>
        </w:rPr>
      </w:pPr>
      <w:r>
        <w:rPr>
          <w:rFonts w:ascii="Times New Roman" w:hAnsi="Times New Roman" w:cs="Times New Roman"/>
          <w:b/>
          <w:sz w:val="20"/>
          <w:szCs w:val="20"/>
        </w:rPr>
        <w:t>ABSTRACT</w:t>
      </w:r>
    </w:p>
    <w:p w14:paraId="5CA808E0" w14:textId="77777777" w:rsidR="00BE115B" w:rsidRPr="00BE115B" w:rsidRDefault="00BE115B" w:rsidP="00D66ABE">
      <w:pPr>
        <w:rPr>
          <w:rFonts w:ascii="Times New Roman" w:hAnsi="Times New Roman" w:cs="Times New Roman"/>
          <w:b/>
          <w:sz w:val="20"/>
          <w:szCs w:val="20"/>
        </w:rPr>
      </w:pPr>
    </w:p>
    <w:p w14:paraId="40077ABC" w14:textId="77777777" w:rsidR="00752377" w:rsidRPr="007C5EBB" w:rsidRDefault="000D54F2" w:rsidP="00D66ABE">
      <w:pPr>
        <w:rPr>
          <w:rFonts w:ascii="Times New Roman" w:hAnsi="Times New Roman" w:cs="Times New Roman"/>
          <w:sz w:val="20"/>
          <w:szCs w:val="20"/>
        </w:rPr>
      </w:pPr>
      <w:r w:rsidRPr="007C5EBB">
        <w:rPr>
          <w:rFonts w:ascii="Times New Roman" w:hAnsi="Times New Roman" w:cs="Times New Roman"/>
          <w:b/>
          <w:sz w:val="20"/>
          <w:szCs w:val="20"/>
        </w:rPr>
        <w:t>Introduction</w:t>
      </w:r>
      <w:r w:rsidR="00D66ABE" w:rsidRPr="007C5EBB">
        <w:rPr>
          <w:rFonts w:ascii="Times New Roman" w:hAnsi="Times New Roman" w:cs="Times New Roman"/>
          <w:b/>
          <w:sz w:val="20"/>
          <w:szCs w:val="20"/>
        </w:rPr>
        <w:t>:</w:t>
      </w:r>
      <w:r w:rsidR="00D66ABE" w:rsidRPr="007C5EBB">
        <w:rPr>
          <w:rFonts w:ascii="Times New Roman" w:hAnsi="Times New Roman" w:cs="Times New Roman"/>
          <w:sz w:val="20"/>
          <w:szCs w:val="20"/>
        </w:rPr>
        <w:t xml:space="preserve"> </w:t>
      </w:r>
    </w:p>
    <w:p w14:paraId="249FA6DA" w14:textId="5C3A9BDF" w:rsidR="00D66ABE" w:rsidRPr="007C5EBB" w:rsidRDefault="008A26DC" w:rsidP="00D66ABE">
      <w:pPr>
        <w:rPr>
          <w:rFonts w:ascii="Times New Roman" w:hAnsi="Times New Roman" w:cs="Times New Roman"/>
          <w:sz w:val="20"/>
          <w:szCs w:val="20"/>
        </w:rPr>
      </w:pPr>
      <w:r w:rsidRPr="007C5EBB">
        <w:rPr>
          <w:rFonts w:ascii="Times New Roman" w:hAnsi="Times New Roman" w:cs="Times New Roman"/>
          <w:sz w:val="20"/>
          <w:szCs w:val="20"/>
        </w:rPr>
        <w:t>This study compares correlations</w:t>
      </w:r>
      <w:r w:rsidR="00D66ABE" w:rsidRPr="007C5EBB">
        <w:rPr>
          <w:rFonts w:ascii="Times New Roman" w:hAnsi="Times New Roman" w:cs="Times New Roman"/>
          <w:sz w:val="20"/>
          <w:szCs w:val="20"/>
        </w:rPr>
        <w:t xml:space="preserve"> of oral health practices</w:t>
      </w:r>
      <w:r w:rsidR="00F50DB4" w:rsidRPr="007C5EBB">
        <w:rPr>
          <w:rFonts w:ascii="Times New Roman" w:hAnsi="Times New Roman" w:cs="Times New Roman"/>
          <w:sz w:val="20"/>
          <w:szCs w:val="20"/>
        </w:rPr>
        <w:t xml:space="preserve"> among participants in Woman, Infants, and Children (WIC) and Head Start educational programs and children’s oral health status.</w:t>
      </w:r>
    </w:p>
    <w:p w14:paraId="4FB8E691" w14:textId="5DC5EB4E" w:rsidR="003F4E2E" w:rsidRPr="007C5EBB" w:rsidRDefault="00D66ABE" w:rsidP="00D66ABE">
      <w:pPr>
        <w:rPr>
          <w:rFonts w:ascii="Times New Roman" w:hAnsi="Times New Roman" w:cs="Times New Roman"/>
          <w:b/>
          <w:sz w:val="20"/>
          <w:szCs w:val="20"/>
        </w:rPr>
      </w:pPr>
      <w:r w:rsidRPr="007C5EBB">
        <w:rPr>
          <w:rFonts w:ascii="Times New Roman" w:hAnsi="Times New Roman" w:cs="Times New Roman"/>
          <w:b/>
          <w:sz w:val="20"/>
          <w:szCs w:val="20"/>
        </w:rPr>
        <w:t>Methods:</w:t>
      </w:r>
    </w:p>
    <w:p w14:paraId="2D3053BE" w14:textId="0925CDC1" w:rsidR="00D66ABE" w:rsidRPr="007C5EBB" w:rsidRDefault="003F4E2E" w:rsidP="00D66ABE">
      <w:pPr>
        <w:rPr>
          <w:rFonts w:ascii="Times New Roman" w:hAnsi="Times New Roman" w:cs="Times New Roman"/>
          <w:sz w:val="20"/>
          <w:szCs w:val="20"/>
        </w:rPr>
      </w:pPr>
      <w:r w:rsidRPr="007C5EBB">
        <w:rPr>
          <w:rFonts w:ascii="Times New Roman" w:hAnsi="Times New Roman" w:cs="Times New Roman"/>
          <w:sz w:val="20"/>
          <w:szCs w:val="20"/>
        </w:rPr>
        <w:t xml:space="preserve">A convenience sample was recruited from participants in the University of Nevada, Las Vegas (UNLV) School of Dental Medicine (SDM)/Seal Nevada South (SNS) Program.   </w:t>
      </w:r>
      <w:r w:rsidR="00D66ABE" w:rsidRPr="007C5EBB">
        <w:rPr>
          <w:rFonts w:ascii="Times New Roman" w:hAnsi="Times New Roman" w:cs="Times New Roman"/>
          <w:sz w:val="20"/>
          <w:szCs w:val="20"/>
        </w:rPr>
        <w:t xml:space="preserve">Parents </w:t>
      </w:r>
      <w:r w:rsidRPr="007C5EBB">
        <w:rPr>
          <w:rFonts w:ascii="Times New Roman" w:hAnsi="Times New Roman" w:cs="Times New Roman"/>
          <w:sz w:val="20"/>
          <w:szCs w:val="20"/>
        </w:rPr>
        <w:t xml:space="preserve">of children who participated in the SNS program </w:t>
      </w:r>
      <w:r w:rsidR="0015118E" w:rsidRPr="007C5EBB">
        <w:rPr>
          <w:rFonts w:ascii="Times New Roman" w:hAnsi="Times New Roman" w:cs="Times New Roman"/>
          <w:sz w:val="20"/>
          <w:szCs w:val="20"/>
        </w:rPr>
        <w:t>completed</w:t>
      </w:r>
      <w:r w:rsidR="00D66ABE" w:rsidRPr="007C5EBB">
        <w:rPr>
          <w:rFonts w:ascii="Times New Roman" w:hAnsi="Times New Roman" w:cs="Times New Roman"/>
          <w:sz w:val="20"/>
          <w:szCs w:val="20"/>
        </w:rPr>
        <w:t xml:space="preserve"> a medical history form </w:t>
      </w:r>
      <w:r w:rsidR="00514928" w:rsidRPr="007C5EBB">
        <w:rPr>
          <w:rFonts w:ascii="Times New Roman" w:hAnsi="Times New Roman" w:cs="Times New Roman"/>
          <w:sz w:val="20"/>
          <w:szCs w:val="20"/>
        </w:rPr>
        <w:t>identifying participation</w:t>
      </w:r>
      <w:r w:rsidR="00D66ABE" w:rsidRPr="007C5EBB">
        <w:rPr>
          <w:rFonts w:ascii="Times New Roman" w:hAnsi="Times New Roman" w:cs="Times New Roman"/>
          <w:sz w:val="20"/>
          <w:szCs w:val="20"/>
        </w:rPr>
        <w:t xml:space="preserve"> in </w:t>
      </w:r>
      <w:r w:rsidR="007430BB" w:rsidRPr="007C5EBB">
        <w:rPr>
          <w:rFonts w:ascii="Times New Roman" w:hAnsi="Times New Roman" w:cs="Times New Roman"/>
          <w:sz w:val="20"/>
          <w:szCs w:val="20"/>
        </w:rPr>
        <w:t xml:space="preserve">WIC or Head </w:t>
      </w:r>
      <w:r w:rsidR="00514928" w:rsidRPr="007C5EBB">
        <w:rPr>
          <w:rFonts w:ascii="Times New Roman" w:hAnsi="Times New Roman" w:cs="Times New Roman"/>
          <w:sz w:val="20"/>
          <w:szCs w:val="20"/>
        </w:rPr>
        <w:t>Start during</w:t>
      </w:r>
      <w:r w:rsidR="00D66ABE" w:rsidRPr="007C5EBB">
        <w:rPr>
          <w:rFonts w:ascii="Times New Roman" w:hAnsi="Times New Roman" w:cs="Times New Roman"/>
          <w:sz w:val="20"/>
          <w:szCs w:val="20"/>
        </w:rPr>
        <w:t xml:space="preserve"> intervals</w:t>
      </w:r>
      <w:r w:rsidR="00FE6CAA" w:rsidRPr="007C5EBB">
        <w:rPr>
          <w:rFonts w:ascii="Times New Roman" w:hAnsi="Times New Roman" w:cs="Times New Roman"/>
          <w:sz w:val="20"/>
          <w:szCs w:val="20"/>
        </w:rPr>
        <w:t xml:space="preserve"> ranging from 1 to 3 years.</w:t>
      </w:r>
      <w:r w:rsidR="00D66ABE" w:rsidRPr="007C5EBB">
        <w:rPr>
          <w:rFonts w:ascii="Times New Roman" w:hAnsi="Times New Roman" w:cs="Times New Roman"/>
          <w:sz w:val="20"/>
          <w:szCs w:val="20"/>
        </w:rPr>
        <w:t xml:space="preserve"> </w:t>
      </w:r>
      <w:r w:rsidR="002902EB" w:rsidRPr="007C5EBB">
        <w:rPr>
          <w:rFonts w:ascii="Times New Roman" w:hAnsi="Times New Roman" w:cs="Times New Roman"/>
          <w:sz w:val="20"/>
          <w:szCs w:val="20"/>
        </w:rPr>
        <w:t>R</w:t>
      </w:r>
      <w:r w:rsidR="00D66ABE" w:rsidRPr="007C5EBB">
        <w:rPr>
          <w:rFonts w:ascii="Times New Roman" w:hAnsi="Times New Roman" w:cs="Times New Roman"/>
          <w:sz w:val="20"/>
          <w:szCs w:val="20"/>
        </w:rPr>
        <w:t xml:space="preserve">esults </w:t>
      </w:r>
      <w:r w:rsidR="00514928" w:rsidRPr="007C5EBB">
        <w:rPr>
          <w:rFonts w:ascii="Times New Roman" w:hAnsi="Times New Roman" w:cs="Times New Roman"/>
          <w:sz w:val="20"/>
          <w:szCs w:val="20"/>
        </w:rPr>
        <w:t xml:space="preserve">of </w:t>
      </w:r>
      <w:r w:rsidR="00762EB4" w:rsidRPr="007C5EBB">
        <w:rPr>
          <w:rFonts w:ascii="Times New Roman" w:hAnsi="Times New Roman" w:cs="Times New Roman"/>
          <w:sz w:val="20"/>
          <w:szCs w:val="20"/>
        </w:rPr>
        <w:t>oral health screenings</w:t>
      </w:r>
      <w:r w:rsidR="00C30F6F" w:rsidRPr="007C5EBB">
        <w:rPr>
          <w:rFonts w:ascii="Times New Roman" w:hAnsi="Times New Roman" w:cs="Times New Roman"/>
          <w:sz w:val="20"/>
          <w:szCs w:val="20"/>
        </w:rPr>
        <w:t xml:space="preserve"> </w:t>
      </w:r>
      <w:r w:rsidR="00514928" w:rsidRPr="007C5EBB">
        <w:rPr>
          <w:rFonts w:ascii="Times New Roman" w:hAnsi="Times New Roman" w:cs="Times New Roman"/>
          <w:sz w:val="20"/>
          <w:szCs w:val="20"/>
        </w:rPr>
        <w:t>classified children</w:t>
      </w:r>
      <w:r w:rsidR="00D66ABE" w:rsidRPr="007C5EBB">
        <w:rPr>
          <w:rFonts w:ascii="Times New Roman" w:hAnsi="Times New Roman" w:cs="Times New Roman"/>
          <w:sz w:val="20"/>
          <w:szCs w:val="20"/>
        </w:rPr>
        <w:t xml:space="preserve"> </w:t>
      </w:r>
      <w:r w:rsidR="00514928" w:rsidRPr="007C5EBB">
        <w:rPr>
          <w:rFonts w:ascii="Times New Roman" w:hAnsi="Times New Roman" w:cs="Times New Roman"/>
          <w:sz w:val="20"/>
          <w:szCs w:val="20"/>
        </w:rPr>
        <w:t>into the</w:t>
      </w:r>
      <w:r w:rsidR="00D66ABE" w:rsidRPr="007C5EBB">
        <w:rPr>
          <w:rFonts w:ascii="Times New Roman" w:hAnsi="Times New Roman" w:cs="Times New Roman"/>
          <w:sz w:val="20"/>
          <w:szCs w:val="20"/>
        </w:rPr>
        <w:t xml:space="preserve"> following categories: Untreated decay, </w:t>
      </w:r>
      <w:r w:rsidR="0015118E" w:rsidRPr="007C5EBB">
        <w:rPr>
          <w:rFonts w:ascii="Times New Roman" w:hAnsi="Times New Roman" w:cs="Times New Roman"/>
          <w:sz w:val="20"/>
          <w:szCs w:val="20"/>
        </w:rPr>
        <w:t>c</w:t>
      </w:r>
      <w:r w:rsidR="00D66ABE" w:rsidRPr="007C5EBB">
        <w:rPr>
          <w:rFonts w:ascii="Times New Roman" w:hAnsi="Times New Roman" w:cs="Times New Roman"/>
          <w:sz w:val="20"/>
          <w:szCs w:val="20"/>
        </w:rPr>
        <w:t>aries experience</w:t>
      </w:r>
      <w:r w:rsidR="00C30F6F" w:rsidRPr="007C5EBB">
        <w:rPr>
          <w:rFonts w:ascii="Times New Roman" w:hAnsi="Times New Roman" w:cs="Times New Roman"/>
          <w:sz w:val="20"/>
          <w:szCs w:val="20"/>
        </w:rPr>
        <w:t xml:space="preserve">, </w:t>
      </w:r>
      <w:r w:rsidR="0015118E" w:rsidRPr="007C5EBB">
        <w:rPr>
          <w:rFonts w:ascii="Times New Roman" w:hAnsi="Times New Roman" w:cs="Times New Roman"/>
          <w:sz w:val="20"/>
          <w:szCs w:val="20"/>
        </w:rPr>
        <w:t>s</w:t>
      </w:r>
      <w:r w:rsidR="00D66ABE" w:rsidRPr="007C5EBB">
        <w:rPr>
          <w:rFonts w:ascii="Times New Roman" w:hAnsi="Times New Roman" w:cs="Times New Roman"/>
          <w:sz w:val="20"/>
          <w:szCs w:val="20"/>
        </w:rPr>
        <w:t xml:space="preserve">ealants present and </w:t>
      </w:r>
      <w:r w:rsidR="0015118E" w:rsidRPr="007C5EBB">
        <w:rPr>
          <w:rFonts w:ascii="Times New Roman" w:hAnsi="Times New Roman" w:cs="Times New Roman"/>
          <w:sz w:val="20"/>
          <w:szCs w:val="20"/>
        </w:rPr>
        <w:t>t</w:t>
      </w:r>
      <w:r w:rsidR="00D66ABE" w:rsidRPr="007C5EBB">
        <w:rPr>
          <w:rFonts w:ascii="Times New Roman" w:hAnsi="Times New Roman" w:cs="Times New Roman"/>
          <w:sz w:val="20"/>
          <w:szCs w:val="20"/>
        </w:rPr>
        <w:t xml:space="preserve">reatment urgency. </w:t>
      </w:r>
    </w:p>
    <w:p w14:paraId="2BA6FDBC" w14:textId="77777777" w:rsidR="00D66ABE" w:rsidRPr="007C5EBB" w:rsidRDefault="00D66ABE" w:rsidP="00D66ABE">
      <w:pPr>
        <w:rPr>
          <w:rFonts w:ascii="Times New Roman" w:hAnsi="Times New Roman" w:cs="Times New Roman"/>
          <w:b/>
          <w:sz w:val="20"/>
          <w:szCs w:val="20"/>
        </w:rPr>
      </w:pPr>
      <w:r w:rsidRPr="007C5EBB">
        <w:rPr>
          <w:rFonts w:ascii="Times New Roman" w:hAnsi="Times New Roman" w:cs="Times New Roman"/>
          <w:b/>
          <w:sz w:val="20"/>
          <w:szCs w:val="20"/>
        </w:rPr>
        <w:t xml:space="preserve">Results: </w:t>
      </w:r>
    </w:p>
    <w:p w14:paraId="70A396BB" w14:textId="6BC28BF7" w:rsidR="00E77735" w:rsidRPr="007C5EBB" w:rsidRDefault="00E77735" w:rsidP="00E77735">
      <w:pPr>
        <w:rPr>
          <w:rFonts w:ascii="Times New Roman" w:hAnsi="Times New Roman" w:cs="Times New Roman"/>
          <w:sz w:val="20"/>
          <w:szCs w:val="20"/>
        </w:rPr>
      </w:pPr>
      <w:r w:rsidRPr="007C5EBB">
        <w:rPr>
          <w:rFonts w:ascii="Times New Roman" w:hAnsi="Times New Roman" w:cs="Times New Roman"/>
          <w:sz w:val="20"/>
          <w:szCs w:val="20"/>
        </w:rPr>
        <w:t>A total of 106 (49.8%) parents had participated in WIC or Head Start while an equal number had not participa</w:t>
      </w:r>
      <w:r w:rsidR="00012443" w:rsidRPr="007C5EBB">
        <w:rPr>
          <w:rFonts w:ascii="Times New Roman" w:hAnsi="Times New Roman" w:cs="Times New Roman"/>
          <w:sz w:val="20"/>
          <w:szCs w:val="20"/>
        </w:rPr>
        <w:t>ted in either program. Almost</w:t>
      </w:r>
      <w:r w:rsidR="00110EAF" w:rsidRPr="007C5EBB">
        <w:rPr>
          <w:rFonts w:ascii="Times New Roman" w:hAnsi="Times New Roman" w:cs="Times New Roman"/>
          <w:sz w:val="20"/>
          <w:szCs w:val="20"/>
        </w:rPr>
        <w:t xml:space="preserve"> half of the children</w:t>
      </w:r>
      <w:r w:rsidRPr="007C5EBB">
        <w:rPr>
          <w:rFonts w:ascii="Times New Roman" w:hAnsi="Times New Roman" w:cs="Times New Roman"/>
          <w:sz w:val="20"/>
          <w:szCs w:val="20"/>
        </w:rPr>
        <w:t xml:space="preserve"> were documented as having early dental care needs (N=97, 45.5%). Children of parents in t</w:t>
      </w:r>
      <w:r w:rsidR="005C322D" w:rsidRPr="007C5EBB">
        <w:rPr>
          <w:rFonts w:ascii="Times New Roman" w:hAnsi="Times New Roman" w:cs="Times New Roman"/>
          <w:sz w:val="20"/>
          <w:szCs w:val="20"/>
        </w:rPr>
        <w:t>he non-participating</w:t>
      </w:r>
      <w:r w:rsidRPr="007C5EBB">
        <w:rPr>
          <w:rFonts w:ascii="Times New Roman" w:hAnsi="Times New Roman" w:cs="Times New Roman"/>
          <w:sz w:val="20"/>
          <w:szCs w:val="20"/>
        </w:rPr>
        <w:t xml:space="preserve"> group had less untreated decay (N=54, 43.9%) when compared to children of par</w:t>
      </w:r>
      <w:r w:rsidR="00C50235">
        <w:rPr>
          <w:rFonts w:ascii="Times New Roman" w:hAnsi="Times New Roman" w:cs="Times New Roman"/>
          <w:sz w:val="20"/>
          <w:szCs w:val="20"/>
        </w:rPr>
        <w:t>ents in the participating group</w:t>
      </w:r>
      <w:r w:rsidRPr="007C5EBB">
        <w:rPr>
          <w:rFonts w:ascii="Times New Roman" w:hAnsi="Times New Roman" w:cs="Times New Roman"/>
          <w:sz w:val="20"/>
          <w:szCs w:val="20"/>
        </w:rPr>
        <w:t xml:space="preserve"> (N=69, 56.1%)</w:t>
      </w:r>
      <w:r w:rsidR="00752377" w:rsidRPr="007C5EBB">
        <w:rPr>
          <w:rFonts w:ascii="Times New Roman" w:hAnsi="Times New Roman" w:cs="Times New Roman"/>
          <w:sz w:val="20"/>
          <w:szCs w:val="20"/>
        </w:rPr>
        <w:t>.</w:t>
      </w:r>
      <w:r w:rsidRPr="007C5EBB">
        <w:rPr>
          <w:rFonts w:ascii="Times New Roman" w:hAnsi="Times New Roman" w:cs="Times New Roman"/>
          <w:sz w:val="20"/>
          <w:szCs w:val="20"/>
        </w:rPr>
        <w:t xml:space="preserve"> </w:t>
      </w:r>
    </w:p>
    <w:p w14:paraId="399A0E7D" w14:textId="2D1E52A3" w:rsidR="00FE6CAA" w:rsidRPr="007C5EBB" w:rsidRDefault="000D54F2" w:rsidP="00C30F6F">
      <w:pPr>
        <w:rPr>
          <w:rFonts w:ascii="Times New Roman" w:hAnsi="Times New Roman" w:cs="Times New Roman"/>
          <w:sz w:val="20"/>
          <w:szCs w:val="20"/>
        </w:rPr>
      </w:pPr>
      <w:r w:rsidRPr="007C5EBB">
        <w:rPr>
          <w:rFonts w:ascii="Times New Roman" w:hAnsi="Times New Roman" w:cs="Times New Roman"/>
          <w:b/>
          <w:sz w:val="20"/>
          <w:szCs w:val="20"/>
        </w:rPr>
        <w:t>Discussion</w:t>
      </w:r>
      <w:r w:rsidR="00D66ABE" w:rsidRPr="007C5EBB">
        <w:rPr>
          <w:rFonts w:ascii="Times New Roman" w:hAnsi="Times New Roman" w:cs="Times New Roman"/>
          <w:b/>
          <w:sz w:val="20"/>
          <w:szCs w:val="20"/>
        </w:rPr>
        <w:t xml:space="preserve">: </w:t>
      </w:r>
      <w:r w:rsidR="00FE6CAA" w:rsidRPr="007C5EBB">
        <w:rPr>
          <w:rFonts w:ascii="Times New Roman" w:hAnsi="Times New Roman" w:cs="Times New Roman"/>
          <w:sz w:val="20"/>
          <w:szCs w:val="20"/>
        </w:rPr>
        <w:t xml:space="preserve">Dental caries is highly prevalent in children aged six to nine irrespective of participation in an oral health program. </w:t>
      </w:r>
      <w:r w:rsidR="001229EB" w:rsidRPr="007C5EBB">
        <w:rPr>
          <w:rFonts w:ascii="Times New Roman" w:hAnsi="Times New Roman" w:cs="Times New Roman"/>
          <w:sz w:val="20"/>
          <w:szCs w:val="20"/>
        </w:rPr>
        <w:t>Evidence-based p</w:t>
      </w:r>
      <w:r w:rsidR="00FE6CAA" w:rsidRPr="007C5EBB">
        <w:rPr>
          <w:rFonts w:ascii="Times New Roman" w:hAnsi="Times New Roman" w:cs="Times New Roman"/>
          <w:sz w:val="20"/>
          <w:szCs w:val="20"/>
        </w:rPr>
        <w:t>revention strategies must be reconsidered especially for children identified as high risk for caries.</w:t>
      </w:r>
    </w:p>
    <w:p w14:paraId="130BBF51" w14:textId="79884547" w:rsidR="002A187B" w:rsidRPr="007C5EBB" w:rsidRDefault="002A187B" w:rsidP="004D59A5">
      <w:pPr>
        <w:rPr>
          <w:rFonts w:ascii="Times New Roman" w:hAnsi="Times New Roman" w:cs="Times New Roman"/>
          <w:sz w:val="20"/>
          <w:szCs w:val="20"/>
        </w:rPr>
      </w:pPr>
      <w:r w:rsidRPr="007C5EBB">
        <w:rPr>
          <w:rFonts w:ascii="Times New Roman" w:hAnsi="Times New Roman" w:cs="Times New Roman"/>
          <w:b/>
          <w:sz w:val="20"/>
          <w:szCs w:val="20"/>
        </w:rPr>
        <w:t>Key Words:</w:t>
      </w:r>
      <w:r w:rsidRPr="007C5EBB">
        <w:rPr>
          <w:rFonts w:ascii="Times New Roman" w:hAnsi="Times New Roman" w:cs="Times New Roman"/>
          <w:sz w:val="20"/>
          <w:szCs w:val="20"/>
        </w:rPr>
        <w:t xml:space="preserve"> WIC, Head Start</w:t>
      </w:r>
      <w:r w:rsidR="0015118E" w:rsidRPr="007C5EBB">
        <w:rPr>
          <w:rFonts w:ascii="Times New Roman" w:hAnsi="Times New Roman" w:cs="Times New Roman"/>
          <w:sz w:val="20"/>
          <w:szCs w:val="20"/>
        </w:rPr>
        <w:t xml:space="preserve">, Oral </w:t>
      </w:r>
      <w:r w:rsidR="00FE6CAA" w:rsidRPr="007C5EBB">
        <w:rPr>
          <w:rFonts w:ascii="Times New Roman" w:hAnsi="Times New Roman" w:cs="Times New Roman"/>
          <w:sz w:val="20"/>
          <w:szCs w:val="20"/>
        </w:rPr>
        <w:t>H</w:t>
      </w:r>
      <w:r w:rsidR="0015118E" w:rsidRPr="007C5EBB">
        <w:rPr>
          <w:rFonts w:ascii="Times New Roman" w:hAnsi="Times New Roman" w:cs="Times New Roman"/>
          <w:sz w:val="20"/>
          <w:szCs w:val="20"/>
        </w:rPr>
        <w:t xml:space="preserve">ealth </w:t>
      </w:r>
      <w:r w:rsidR="00FE6CAA" w:rsidRPr="007C5EBB">
        <w:rPr>
          <w:rFonts w:ascii="Times New Roman" w:hAnsi="Times New Roman" w:cs="Times New Roman"/>
          <w:sz w:val="20"/>
          <w:szCs w:val="20"/>
        </w:rPr>
        <w:t>E</w:t>
      </w:r>
      <w:r w:rsidR="0015118E" w:rsidRPr="007C5EBB">
        <w:rPr>
          <w:rFonts w:ascii="Times New Roman" w:hAnsi="Times New Roman" w:cs="Times New Roman"/>
          <w:sz w:val="20"/>
          <w:szCs w:val="20"/>
        </w:rPr>
        <w:t>ducation, Prevention</w:t>
      </w:r>
    </w:p>
    <w:p w14:paraId="2635237D" w14:textId="7BB77D98" w:rsidR="00F50DB4" w:rsidRPr="007C5EBB" w:rsidRDefault="00F50DB4" w:rsidP="004D59A5">
      <w:pPr>
        <w:rPr>
          <w:rFonts w:ascii="Times New Roman" w:hAnsi="Times New Roman" w:cs="Times New Roman"/>
          <w:b/>
          <w:sz w:val="20"/>
          <w:szCs w:val="20"/>
        </w:rPr>
      </w:pPr>
    </w:p>
    <w:p w14:paraId="6D86B192" w14:textId="5B6F6CA6" w:rsidR="004D59A5" w:rsidRDefault="00BE115B" w:rsidP="004D59A5">
      <w:pPr>
        <w:rPr>
          <w:rFonts w:ascii="Times New Roman" w:hAnsi="Times New Roman" w:cs="Times New Roman"/>
          <w:b/>
          <w:sz w:val="20"/>
          <w:szCs w:val="20"/>
        </w:rPr>
      </w:pPr>
      <w:r>
        <w:rPr>
          <w:rFonts w:ascii="Times New Roman" w:hAnsi="Times New Roman" w:cs="Times New Roman"/>
          <w:b/>
          <w:sz w:val="20"/>
          <w:szCs w:val="20"/>
        </w:rPr>
        <w:t>INTRODUCTION</w:t>
      </w:r>
    </w:p>
    <w:p w14:paraId="35695AC8" w14:textId="77777777" w:rsidR="00BE115B" w:rsidRPr="007C5EBB" w:rsidRDefault="00BE115B" w:rsidP="004D59A5">
      <w:pPr>
        <w:rPr>
          <w:rFonts w:ascii="Times New Roman" w:hAnsi="Times New Roman" w:cs="Times New Roman"/>
          <w:b/>
          <w:sz w:val="20"/>
          <w:szCs w:val="20"/>
        </w:rPr>
      </w:pPr>
    </w:p>
    <w:p w14:paraId="63571104" w14:textId="19258A19" w:rsidR="004D59A5" w:rsidRDefault="004D59A5" w:rsidP="00BE115B">
      <w:pPr>
        <w:ind w:firstLine="360"/>
        <w:rPr>
          <w:rFonts w:ascii="Times New Roman" w:hAnsi="Times New Roman" w:cs="Times New Roman"/>
          <w:sz w:val="20"/>
          <w:szCs w:val="20"/>
        </w:rPr>
      </w:pPr>
      <w:r w:rsidRPr="007C5EBB">
        <w:rPr>
          <w:rFonts w:ascii="Times New Roman" w:hAnsi="Times New Roman" w:cs="Times New Roman"/>
          <w:sz w:val="20"/>
          <w:szCs w:val="20"/>
        </w:rPr>
        <w:t>Dental caries is the most prevalent chronic childhood disease in the United States, five tim</w:t>
      </w:r>
      <w:r w:rsidR="00D65F3E" w:rsidRPr="007C5EBB">
        <w:rPr>
          <w:rFonts w:ascii="Times New Roman" w:hAnsi="Times New Roman" w:cs="Times New Roman"/>
          <w:sz w:val="20"/>
          <w:szCs w:val="20"/>
        </w:rPr>
        <w:t>es more common than asthma</w:t>
      </w:r>
      <w:r w:rsidR="00955DC4" w:rsidRPr="007C5EBB">
        <w:rPr>
          <w:rFonts w:ascii="Times New Roman" w:hAnsi="Times New Roman" w:cs="Times New Roman"/>
          <w:sz w:val="20"/>
          <w:szCs w:val="20"/>
        </w:rPr>
        <w:t xml:space="preserve"> (</w:t>
      </w:r>
      <w:r w:rsidR="00DD1583" w:rsidRPr="007C5EBB">
        <w:rPr>
          <w:rFonts w:ascii="Times New Roman" w:hAnsi="Times New Roman" w:cs="Times New Roman"/>
          <w:sz w:val="20"/>
          <w:szCs w:val="20"/>
        </w:rPr>
        <w:t>Poland &amp; Hale, 2003;</w:t>
      </w:r>
      <w:r w:rsidR="00955DC4" w:rsidRPr="007C5EBB">
        <w:rPr>
          <w:rFonts w:ascii="Times New Roman" w:hAnsi="Times New Roman" w:cs="Times New Roman"/>
          <w:sz w:val="20"/>
          <w:szCs w:val="20"/>
        </w:rPr>
        <w:t>Var</w:t>
      </w:r>
      <w:r w:rsidR="00033313" w:rsidRPr="007C5EBB">
        <w:rPr>
          <w:rFonts w:ascii="Times New Roman" w:hAnsi="Times New Roman" w:cs="Times New Roman"/>
          <w:sz w:val="20"/>
          <w:szCs w:val="20"/>
        </w:rPr>
        <w:t xml:space="preserve">gas, </w:t>
      </w:r>
      <w:proofErr w:type="spellStart"/>
      <w:r w:rsidR="00033313" w:rsidRPr="007C5EBB">
        <w:rPr>
          <w:rFonts w:ascii="Times New Roman" w:hAnsi="Times New Roman" w:cs="Times New Roman"/>
          <w:sz w:val="20"/>
          <w:szCs w:val="20"/>
        </w:rPr>
        <w:t>Crall</w:t>
      </w:r>
      <w:proofErr w:type="spellEnd"/>
      <w:r w:rsidR="00033313" w:rsidRPr="007C5EBB">
        <w:rPr>
          <w:rFonts w:ascii="Times New Roman" w:hAnsi="Times New Roman" w:cs="Times New Roman"/>
          <w:sz w:val="20"/>
          <w:szCs w:val="20"/>
        </w:rPr>
        <w:t>, &amp; Schneider</w:t>
      </w:r>
      <w:r w:rsidR="00DD1583" w:rsidRPr="007C5EBB">
        <w:rPr>
          <w:rFonts w:ascii="Times New Roman" w:hAnsi="Times New Roman" w:cs="Times New Roman"/>
          <w:sz w:val="20"/>
          <w:szCs w:val="20"/>
        </w:rPr>
        <w:t>, 1998</w:t>
      </w:r>
      <w:r w:rsidR="00955DC4" w:rsidRPr="007C5EBB">
        <w:rPr>
          <w:rFonts w:ascii="Times New Roman" w:hAnsi="Times New Roman" w:cs="Times New Roman"/>
          <w:sz w:val="20"/>
          <w:szCs w:val="20"/>
        </w:rPr>
        <w:t>)</w:t>
      </w:r>
      <w:r w:rsidRPr="007C5EBB">
        <w:rPr>
          <w:rFonts w:ascii="Times New Roman" w:hAnsi="Times New Roman" w:cs="Times New Roman"/>
          <w:sz w:val="20"/>
          <w:szCs w:val="20"/>
        </w:rPr>
        <w:t xml:space="preserve">. </w:t>
      </w:r>
      <w:r w:rsidR="0077669D" w:rsidRPr="007C5EBB">
        <w:rPr>
          <w:rFonts w:ascii="Times New Roman" w:hAnsi="Times New Roman" w:cs="Times New Roman"/>
          <w:sz w:val="20"/>
          <w:szCs w:val="20"/>
        </w:rPr>
        <w:t>According to</w:t>
      </w:r>
      <w:r w:rsidR="00530A95" w:rsidRPr="007C5EBB">
        <w:rPr>
          <w:rFonts w:ascii="Times New Roman" w:hAnsi="Times New Roman" w:cs="Times New Roman"/>
          <w:sz w:val="20"/>
          <w:szCs w:val="20"/>
        </w:rPr>
        <w:t xml:space="preserve"> </w:t>
      </w:r>
      <w:proofErr w:type="spellStart"/>
      <w:r w:rsidR="00530A95" w:rsidRPr="007C5EBB">
        <w:rPr>
          <w:rFonts w:ascii="Times New Roman" w:hAnsi="Times New Roman" w:cs="Times New Roman"/>
          <w:sz w:val="20"/>
          <w:szCs w:val="20"/>
        </w:rPr>
        <w:t>Wachino</w:t>
      </w:r>
      <w:proofErr w:type="spellEnd"/>
      <w:r w:rsidR="00530A95" w:rsidRPr="007C5EBB">
        <w:rPr>
          <w:rFonts w:ascii="Times New Roman" w:hAnsi="Times New Roman" w:cs="Times New Roman"/>
          <w:sz w:val="20"/>
          <w:szCs w:val="20"/>
        </w:rPr>
        <w:t xml:space="preserve"> (2011),</w:t>
      </w:r>
      <w:r w:rsidR="0077669D" w:rsidRPr="007C5EBB">
        <w:rPr>
          <w:rFonts w:ascii="Times New Roman" w:hAnsi="Times New Roman" w:cs="Times New Roman"/>
          <w:sz w:val="20"/>
          <w:szCs w:val="20"/>
        </w:rPr>
        <w:t xml:space="preserve"> n</w:t>
      </w:r>
      <w:r w:rsidRPr="007C5EBB">
        <w:rPr>
          <w:rFonts w:ascii="Times New Roman" w:hAnsi="Times New Roman" w:cs="Times New Roman"/>
          <w:sz w:val="20"/>
          <w:szCs w:val="20"/>
        </w:rPr>
        <w:t>ationwide, children</w:t>
      </w:r>
      <w:r w:rsidR="00065AEF" w:rsidRPr="007C5EBB">
        <w:rPr>
          <w:rFonts w:ascii="Times New Roman" w:hAnsi="Times New Roman" w:cs="Times New Roman"/>
          <w:sz w:val="20"/>
          <w:szCs w:val="20"/>
        </w:rPr>
        <w:t xml:space="preserve"> enrolled in Medicaid carry the greatest</w:t>
      </w:r>
      <w:r w:rsidRPr="007C5EBB">
        <w:rPr>
          <w:rFonts w:ascii="Times New Roman" w:hAnsi="Times New Roman" w:cs="Times New Roman"/>
          <w:sz w:val="20"/>
          <w:szCs w:val="20"/>
        </w:rPr>
        <w:t xml:space="preserve"> burden of oral disease</w:t>
      </w:r>
      <w:r w:rsidR="00065AEF" w:rsidRPr="007C5EBB">
        <w:rPr>
          <w:rFonts w:ascii="Times New Roman" w:hAnsi="Times New Roman" w:cs="Times New Roman"/>
          <w:sz w:val="20"/>
          <w:szCs w:val="20"/>
        </w:rPr>
        <w:t>s with</w:t>
      </w:r>
      <w:r w:rsidRPr="007C5EBB">
        <w:rPr>
          <w:rFonts w:ascii="Times New Roman" w:hAnsi="Times New Roman" w:cs="Times New Roman"/>
          <w:sz w:val="20"/>
          <w:szCs w:val="20"/>
        </w:rPr>
        <w:t xml:space="preserve"> 25% of </w:t>
      </w:r>
      <w:r w:rsidR="00712749" w:rsidRPr="007C5EBB">
        <w:rPr>
          <w:rFonts w:ascii="Times New Roman" w:hAnsi="Times New Roman" w:cs="Times New Roman"/>
          <w:sz w:val="20"/>
          <w:szCs w:val="20"/>
        </w:rPr>
        <w:t>low income</w:t>
      </w:r>
      <w:r w:rsidRPr="007C5EBB">
        <w:rPr>
          <w:rFonts w:ascii="Times New Roman" w:hAnsi="Times New Roman" w:cs="Times New Roman"/>
          <w:sz w:val="20"/>
          <w:szCs w:val="20"/>
        </w:rPr>
        <w:t xml:space="preserve"> children </w:t>
      </w:r>
      <w:r w:rsidR="00065AEF" w:rsidRPr="007C5EBB">
        <w:rPr>
          <w:rFonts w:ascii="Times New Roman" w:hAnsi="Times New Roman" w:cs="Times New Roman"/>
          <w:sz w:val="20"/>
          <w:szCs w:val="20"/>
        </w:rPr>
        <w:t xml:space="preserve">currently </w:t>
      </w:r>
      <w:r w:rsidRPr="007C5EBB">
        <w:rPr>
          <w:rFonts w:ascii="Times New Roman" w:hAnsi="Times New Roman" w:cs="Times New Roman"/>
          <w:sz w:val="20"/>
          <w:szCs w:val="20"/>
        </w:rPr>
        <w:t>account</w:t>
      </w:r>
      <w:r w:rsidR="00065AEF" w:rsidRPr="007C5EBB">
        <w:rPr>
          <w:rFonts w:ascii="Times New Roman" w:hAnsi="Times New Roman" w:cs="Times New Roman"/>
          <w:sz w:val="20"/>
          <w:szCs w:val="20"/>
        </w:rPr>
        <w:t>ing</w:t>
      </w:r>
      <w:r w:rsidRPr="007C5EBB">
        <w:rPr>
          <w:rFonts w:ascii="Times New Roman" w:hAnsi="Times New Roman" w:cs="Times New Roman"/>
          <w:sz w:val="20"/>
          <w:szCs w:val="20"/>
        </w:rPr>
        <w:t xml:space="preserve"> for 80% of </w:t>
      </w:r>
      <w:r w:rsidR="00065AEF" w:rsidRPr="007C5EBB">
        <w:rPr>
          <w:rFonts w:ascii="Times New Roman" w:hAnsi="Times New Roman" w:cs="Times New Roman"/>
          <w:sz w:val="20"/>
          <w:szCs w:val="20"/>
        </w:rPr>
        <w:t>reported</w:t>
      </w:r>
      <w:r w:rsidR="00D65F3E" w:rsidRPr="007C5EBB">
        <w:rPr>
          <w:rFonts w:ascii="Times New Roman" w:hAnsi="Times New Roman" w:cs="Times New Roman"/>
          <w:sz w:val="20"/>
          <w:szCs w:val="20"/>
        </w:rPr>
        <w:t xml:space="preserve"> dental disease</w:t>
      </w:r>
      <w:r w:rsidR="00033313" w:rsidRPr="007C5EBB">
        <w:rPr>
          <w:rFonts w:ascii="Times New Roman" w:hAnsi="Times New Roman" w:cs="Times New Roman"/>
          <w:sz w:val="20"/>
          <w:szCs w:val="20"/>
        </w:rPr>
        <w:t xml:space="preserve"> </w:t>
      </w:r>
      <w:r w:rsidR="00033313" w:rsidRPr="007C5EBB">
        <w:rPr>
          <w:rFonts w:ascii="Times New Roman" w:hAnsi="Times New Roman" w:cs="Times New Roman"/>
          <w:sz w:val="20"/>
          <w:szCs w:val="20"/>
        </w:rPr>
        <w:lastRenderedPageBreak/>
        <w:t>(</w:t>
      </w:r>
      <w:proofErr w:type="spellStart"/>
      <w:r w:rsidR="00033313" w:rsidRPr="007C5EBB">
        <w:rPr>
          <w:rFonts w:ascii="Times New Roman" w:hAnsi="Times New Roman" w:cs="Times New Roman"/>
          <w:sz w:val="20"/>
          <w:szCs w:val="20"/>
        </w:rPr>
        <w:t>Wachino</w:t>
      </w:r>
      <w:proofErr w:type="spellEnd"/>
      <w:r w:rsidR="00033313" w:rsidRPr="007C5EBB">
        <w:rPr>
          <w:rFonts w:ascii="Times New Roman" w:hAnsi="Times New Roman" w:cs="Times New Roman"/>
          <w:sz w:val="20"/>
          <w:szCs w:val="20"/>
        </w:rPr>
        <w:t xml:space="preserve">, </w:t>
      </w:r>
      <w:r w:rsidR="00371F46" w:rsidRPr="007C5EBB">
        <w:rPr>
          <w:rFonts w:ascii="Times New Roman" w:hAnsi="Times New Roman" w:cs="Times New Roman"/>
          <w:sz w:val="20"/>
          <w:szCs w:val="20"/>
        </w:rPr>
        <w:t>2011)</w:t>
      </w:r>
      <w:r w:rsidR="00925D56" w:rsidRPr="007C5EBB">
        <w:rPr>
          <w:rFonts w:ascii="Times New Roman" w:hAnsi="Times New Roman" w:cs="Times New Roman"/>
          <w:sz w:val="20"/>
          <w:szCs w:val="20"/>
        </w:rPr>
        <w:t>.</w:t>
      </w:r>
      <w:r w:rsidRPr="007C5EBB">
        <w:rPr>
          <w:rFonts w:ascii="Times New Roman" w:hAnsi="Times New Roman" w:cs="Times New Roman"/>
          <w:sz w:val="20"/>
          <w:szCs w:val="20"/>
        </w:rPr>
        <w:t xml:space="preserve"> According to </w:t>
      </w:r>
      <w:r w:rsidRPr="007C5EBB">
        <w:rPr>
          <w:rFonts w:ascii="Times New Roman" w:eastAsia="MS Mincho" w:hAnsi="Times New Roman" w:cs="Times New Roman"/>
          <w:sz w:val="20"/>
          <w:szCs w:val="20"/>
          <w:lang w:eastAsia="ja-JP"/>
        </w:rPr>
        <w:t xml:space="preserve">the Department of Health and Human Services, Division of Public and Behavioral Health, Oral Health Program </w:t>
      </w:r>
      <w:r w:rsidR="00925D56" w:rsidRPr="007C5EBB">
        <w:rPr>
          <w:rFonts w:ascii="Times New Roman" w:eastAsia="MS Mincho" w:hAnsi="Times New Roman" w:cs="Times New Roman"/>
          <w:sz w:val="20"/>
          <w:szCs w:val="20"/>
          <w:lang w:eastAsia="ja-JP"/>
        </w:rPr>
        <w:t xml:space="preserve">report </w:t>
      </w:r>
      <w:r w:rsidRPr="007C5EBB">
        <w:rPr>
          <w:rFonts w:ascii="Times New Roman" w:eastAsia="MS Mincho" w:hAnsi="Times New Roman" w:cs="Times New Roman"/>
          <w:sz w:val="20"/>
          <w:szCs w:val="20"/>
          <w:lang w:eastAsia="ja-JP"/>
        </w:rPr>
        <w:t>titled</w:t>
      </w:r>
      <w:r w:rsidR="00925D56" w:rsidRPr="007C5EBB">
        <w:rPr>
          <w:rFonts w:ascii="Times New Roman" w:eastAsia="MS Mincho" w:hAnsi="Times New Roman" w:cs="Times New Roman"/>
          <w:sz w:val="20"/>
          <w:szCs w:val="20"/>
          <w:lang w:eastAsia="ja-JP"/>
        </w:rPr>
        <w:t>,</w:t>
      </w:r>
      <w:r w:rsidRPr="007C5EBB">
        <w:rPr>
          <w:rFonts w:ascii="Times New Roman" w:eastAsia="MS Mincho" w:hAnsi="Times New Roman" w:cs="Times New Roman"/>
          <w:sz w:val="20"/>
          <w:szCs w:val="20"/>
          <w:lang w:eastAsia="ja-JP"/>
        </w:rPr>
        <w:t xml:space="preserve"> “2008-2009 Third-Grade Oral Health Survey</w:t>
      </w:r>
      <w:r w:rsidRPr="007C5EBB">
        <w:rPr>
          <w:rFonts w:ascii="Times New Roman" w:hAnsi="Times New Roman" w:cs="Times New Roman"/>
          <w:sz w:val="20"/>
          <w:szCs w:val="20"/>
        </w:rPr>
        <w:t>,</w:t>
      </w:r>
      <w:r w:rsidR="00FA273E" w:rsidRPr="007C5EBB">
        <w:rPr>
          <w:rFonts w:ascii="Times New Roman" w:hAnsi="Times New Roman" w:cs="Times New Roman"/>
          <w:sz w:val="20"/>
          <w:szCs w:val="20"/>
        </w:rPr>
        <w:t>”</w:t>
      </w:r>
      <w:r w:rsidRPr="007C5EBB">
        <w:rPr>
          <w:rFonts w:ascii="Times New Roman" w:hAnsi="Times New Roman" w:cs="Times New Roman"/>
          <w:sz w:val="20"/>
          <w:szCs w:val="20"/>
        </w:rPr>
        <w:t xml:space="preserve"> six out of ten (65%) of Nevada’s third grade students ha</w:t>
      </w:r>
      <w:r w:rsidR="00065AEF" w:rsidRPr="007C5EBB">
        <w:rPr>
          <w:rFonts w:ascii="Times New Roman" w:hAnsi="Times New Roman" w:cs="Times New Roman"/>
          <w:sz w:val="20"/>
          <w:szCs w:val="20"/>
        </w:rPr>
        <w:t>d</w:t>
      </w:r>
      <w:r w:rsidR="003831D9" w:rsidRPr="007C5EBB">
        <w:rPr>
          <w:rFonts w:ascii="Times New Roman" w:hAnsi="Times New Roman" w:cs="Times New Roman"/>
          <w:sz w:val="20"/>
          <w:szCs w:val="20"/>
        </w:rPr>
        <w:t xml:space="preserve"> tooth decay, </w:t>
      </w:r>
      <w:r w:rsidRPr="007C5EBB">
        <w:rPr>
          <w:rFonts w:ascii="Times New Roman" w:hAnsi="Times New Roman" w:cs="Times New Roman"/>
          <w:sz w:val="20"/>
          <w:szCs w:val="20"/>
        </w:rPr>
        <w:t>12% higher tha</w:t>
      </w:r>
      <w:r w:rsidR="00D65F3E" w:rsidRPr="007C5EBB">
        <w:rPr>
          <w:rFonts w:ascii="Times New Roman" w:hAnsi="Times New Roman" w:cs="Times New Roman"/>
          <w:sz w:val="20"/>
          <w:szCs w:val="20"/>
        </w:rPr>
        <w:t>n the national average (53%)</w:t>
      </w:r>
      <w:r w:rsidR="002568FC" w:rsidRPr="007C5EBB">
        <w:rPr>
          <w:rFonts w:ascii="Times New Roman" w:hAnsi="Times New Roman" w:cs="Times New Roman"/>
          <w:sz w:val="20"/>
          <w:szCs w:val="20"/>
        </w:rPr>
        <w:t xml:space="preserve"> </w:t>
      </w:r>
      <w:proofErr w:type="gramStart"/>
      <w:r w:rsidR="002568FC" w:rsidRPr="007C5EBB">
        <w:rPr>
          <w:rFonts w:ascii="Times New Roman" w:hAnsi="Times New Roman" w:cs="Times New Roman"/>
          <w:sz w:val="20"/>
          <w:szCs w:val="20"/>
        </w:rPr>
        <w:t>[Department of Health and Human Services, 2008]</w:t>
      </w:r>
      <w:r w:rsidRPr="007C5EBB">
        <w:rPr>
          <w:rFonts w:ascii="Times New Roman" w:hAnsi="Times New Roman" w:cs="Times New Roman"/>
          <w:sz w:val="20"/>
          <w:szCs w:val="20"/>
        </w:rPr>
        <w:t>.</w:t>
      </w:r>
      <w:proofErr w:type="gramEnd"/>
      <w:r w:rsidR="003831D9" w:rsidRPr="007C5EBB">
        <w:rPr>
          <w:rFonts w:ascii="Times New Roman" w:hAnsi="Times New Roman" w:cs="Times New Roman"/>
          <w:sz w:val="20"/>
          <w:szCs w:val="20"/>
        </w:rPr>
        <w:t xml:space="preserve"> </w:t>
      </w:r>
      <w:r w:rsidRPr="007C5EBB">
        <w:rPr>
          <w:rFonts w:ascii="Times New Roman" w:hAnsi="Times New Roman" w:cs="Times New Roman"/>
          <w:sz w:val="20"/>
          <w:szCs w:val="20"/>
        </w:rPr>
        <w:t xml:space="preserve"> In the 2011 – 2012 Nevada’s Head Start Oral Health survey</w:t>
      </w:r>
      <w:r w:rsidR="00925D56" w:rsidRPr="007C5EBB">
        <w:rPr>
          <w:rFonts w:ascii="Times New Roman" w:hAnsi="Times New Roman" w:cs="Times New Roman"/>
          <w:sz w:val="20"/>
          <w:szCs w:val="20"/>
        </w:rPr>
        <w:t xml:space="preserve"> titled</w:t>
      </w:r>
      <w:r w:rsidRPr="007C5EBB">
        <w:rPr>
          <w:rFonts w:ascii="Times New Roman" w:hAnsi="Times New Roman" w:cs="Times New Roman"/>
          <w:sz w:val="20"/>
          <w:szCs w:val="20"/>
        </w:rPr>
        <w:t xml:space="preserve">, “Healthy Smile, Happy Child,” there </w:t>
      </w:r>
      <w:r w:rsidR="00065AEF" w:rsidRPr="007C5EBB">
        <w:rPr>
          <w:rFonts w:ascii="Times New Roman" w:hAnsi="Times New Roman" w:cs="Times New Roman"/>
          <w:sz w:val="20"/>
          <w:szCs w:val="20"/>
        </w:rPr>
        <w:t>we</w:t>
      </w:r>
      <w:r w:rsidRPr="007C5EBB">
        <w:rPr>
          <w:rFonts w:ascii="Times New Roman" w:hAnsi="Times New Roman" w:cs="Times New Roman"/>
          <w:sz w:val="20"/>
          <w:szCs w:val="20"/>
        </w:rPr>
        <w:t>re two specific health objectives</w:t>
      </w:r>
      <w:r w:rsidR="007430BB" w:rsidRPr="007C5EBB">
        <w:rPr>
          <w:rFonts w:ascii="Times New Roman" w:hAnsi="Times New Roman" w:cs="Times New Roman"/>
          <w:sz w:val="20"/>
          <w:szCs w:val="20"/>
        </w:rPr>
        <w:t xml:space="preserve"> and comparative measures</w:t>
      </w:r>
      <w:r w:rsidRPr="007C5EBB">
        <w:rPr>
          <w:rFonts w:ascii="Times New Roman" w:hAnsi="Times New Roman" w:cs="Times New Roman"/>
          <w:sz w:val="20"/>
          <w:szCs w:val="20"/>
        </w:rPr>
        <w:t xml:space="preserve"> for 2020</w:t>
      </w:r>
      <w:r w:rsidR="002568FC" w:rsidRPr="007C5EBB">
        <w:rPr>
          <w:rFonts w:ascii="Times New Roman" w:hAnsi="Times New Roman" w:cs="Times New Roman"/>
          <w:sz w:val="20"/>
          <w:szCs w:val="20"/>
        </w:rPr>
        <w:t xml:space="preserve"> (Department of Health and Human Services, 2011)</w:t>
      </w:r>
      <w:r w:rsidRPr="007C5EBB">
        <w:rPr>
          <w:rFonts w:ascii="Times New Roman" w:hAnsi="Times New Roman" w:cs="Times New Roman"/>
          <w:sz w:val="20"/>
          <w:szCs w:val="20"/>
        </w:rPr>
        <w:t>:</w:t>
      </w:r>
    </w:p>
    <w:p w14:paraId="25CC8998" w14:textId="77777777" w:rsidR="00BE115B" w:rsidRPr="007C5EBB" w:rsidRDefault="00BE115B" w:rsidP="0077669D">
      <w:pPr>
        <w:rPr>
          <w:rFonts w:ascii="Times New Roman" w:hAnsi="Times New Roman" w:cs="Times New Roman"/>
          <w:sz w:val="20"/>
          <w:szCs w:val="20"/>
        </w:rPr>
      </w:pPr>
    </w:p>
    <w:p w14:paraId="1E34C4B6" w14:textId="570ABD72" w:rsidR="004D59A5" w:rsidRPr="007C5EBB" w:rsidRDefault="004D59A5" w:rsidP="004D59A5">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Objective 1: “Reduce the proportion of young children with dental caries experience in their primary teeth</w:t>
      </w:r>
      <w:r w:rsidR="00925D56" w:rsidRPr="007C5EBB">
        <w:rPr>
          <w:rFonts w:ascii="Times New Roman" w:hAnsi="Times New Roman" w:cs="Times New Roman"/>
          <w:sz w:val="20"/>
          <w:szCs w:val="20"/>
        </w:rPr>
        <w:t>.</w:t>
      </w:r>
      <w:r w:rsidRPr="007C5EBB">
        <w:rPr>
          <w:rFonts w:ascii="Times New Roman" w:hAnsi="Times New Roman" w:cs="Times New Roman"/>
          <w:sz w:val="20"/>
          <w:szCs w:val="20"/>
        </w:rPr>
        <w:t xml:space="preserve">” The </w:t>
      </w:r>
      <w:r w:rsidR="003831D9" w:rsidRPr="007C5EBB">
        <w:rPr>
          <w:rFonts w:ascii="Times New Roman" w:hAnsi="Times New Roman" w:cs="Times New Roman"/>
          <w:sz w:val="20"/>
          <w:szCs w:val="20"/>
        </w:rPr>
        <w:t xml:space="preserve">Healthy People 2020 </w:t>
      </w:r>
      <w:r w:rsidRPr="007C5EBB">
        <w:rPr>
          <w:rFonts w:ascii="Times New Roman" w:hAnsi="Times New Roman" w:cs="Times New Roman"/>
          <w:sz w:val="20"/>
          <w:szCs w:val="20"/>
        </w:rPr>
        <w:t xml:space="preserve">target is 30% </w:t>
      </w:r>
      <w:r w:rsidR="004356D6" w:rsidRPr="007C5EBB">
        <w:rPr>
          <w:rFonts w:ascii="Times New Roman" w:hAnsi="Times New Roman" w:cs="Times New Roman"/>
          <w:sz w:val="20"/>
          <w:szCs w:val="20"/>
        </w:rPr>
        <w:t xml:space="preserve">with caries experience. </w:t>
      </w:r>
    </w:p>
    <w:p w14:paraId="696B3010" w14:textId="42134956" w:rsidR="004D59A5" w:rsidRPr="007C5EBB" w:rsidRDefault="004D59A5" w:rsidP="004D59A5">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 xml:space="preserve">Objective 2: “Reduce the proportion of young children with untreated dental decay in their primary teeth.” The </w:t>
      </w:r>
      <w:r w:rsidR="003831D9" w:rsidRPr="007C5EBB">
        <w:rPr>
          <w:rFonts w:ascii="Times New Roman" w:hAnsi="Times New Roman" w:cs="Times New Roman"/>
          <w:sz w:val="20"/>
          <w:szCs w:val="20"/>
        </w:rPr>
        <w:t xml:space="preserve">Healthy People 2020 </w:t>
      </w:r>
      <w:r w:rsidRPr="007C5EBB">
        <w:rPr>
          <w:rFonts w:ascii="Times New Roman" w:hAnsi="Times New Roman" w:cs="Times New Roman"/>
          <w:sz w:val="20"/>
          <w:szCs w:val="20"/>
        </w:rPr>
        <w:t xml:space="preserve">target is 21.4% having untreated decay. </w:t>
      </w:r>
    </w:p>
    <w:p w14:paraId="501FCD9F" w14:textId="77777777" w:rsidR="004D59A5" w:rsidRPr="007C5EBB" w:rsidRDefault="004D59A5" w:rsidP="004D59A5">
      <w:pPr>
        <w:rPr>
          <w:rFonts w:ascii="Times New Roman" w:hAnsi="Times New Roman" w:cs="Times New Roman"/>
          <w:sz w:val="20"/>
          <w:szCs w:val="20"/>
        </w:rPr>
      </w:pPr>
    </w:p>
    <w:p w14:paraId="2C8396C8" w14:textId="32C74504" w:rsidR="001C78DD" w:rsidRPr="007C5EBB" w:rsidRDefault="001C78DD" w:rsidP="00BE115B">
      <w:pPr>
        <w:ind w:firstLine="360"/>
        <w:rPr>
          <w:rFonts w:ascii="Times New Roman" w:hAnsi="Times New Roman" w:cs="Times New Roman"/>
          <w:sz w:val="20"/>
          <w:szCs w:val="20"/>
        </w:rPr>
      </w:pPr>
      <w:r w:rsidRPr="007C5EBB">
        <w:rPr>
          <w:rFonts w:ascii="Times New Roman" w:hAnsi="Times New Roman" w:cs="Times New Roman"/>
          <w:sz w:val="20"/>
          <w:szCs w:val="20"/>
        </w:rPr>
        <w:t xml:space="preserve">Nevada </w:t>
      </w:r>
      <w:r w:rsidR="00550CA8" w:rsidRPr="007C5EBB">
        <w:rPr>
          <w:rFonts w:ascii="Times New Roman" w:hAnsi="Times New Roman" w:cs="Times New Roman"/>
          <w:sz w:val="20"/>
          <w:szCs w:val="20"/>
        </w:rPr>
        <w:t>has not</w:t>
      </w:r>
      <w:r w:rsidRPr="007C5EBB">
        <w:rPr>
          <w:rFonts w:ascii="Times New Roman" w:hAnsi="Times New Roman" w:cs="Times New Roman"/>
          <w:sz w:val="20"/>
          <w:szCs w:val="20"/>
        </w:rPr>
        <w:t xml:space="preserve"> achieve</w:t>
      </w:r>
      <w:r w:rsidR="007430BB" w:rsidRPr="007C5EBB">
        <w:rPr>
          <w:rFonts w:ascii="Times New Roman" w:hAnsi="Times New Roman" w:cs="Times New Roman"/>
          <w:sz w:val="20"/>
          <w:szCs w:val="20"/>
        </w:rPr>
        <w:t>d</w:t>
      </w:r>
      <w:r w:rsidRPr="007C5EBB">
        <w:rPr>
          <w:rFonts w:ascii="Times New Roman" w:hAnsi="Times New Roman" w:cs="Times New Roman"/>
          <w:sz w:val="20"/>
          <w:szCs w:val="20"/>
        </w:rPr>
        <w:t xml:space="preserve"> the target for the first objective but </w:t>
      </w:r>
      <w:r w:rsidR="007430BB" w:rsidRPr="007C5EBB">
        <w:rPr>
          <w:rFonts w:ascii="Times New Roman" w:hAnsi="Times New Roman" w:cs="Times New Roman"/>
          <w:sz w:val="20"/>
          <w:szCs w:val="20"/>
        </w:rPr>
        <w:t>has</w:t>
      </w:r>
      <w:r w:rsidRPr="007C5EBB">
        <w:rPr>
          <w:rFonts w:ascii="Times New Roman" w:hAnsi="Times New Roman" w:cs="Times New Roman"/>
          <w:sz w:val="20"/>
          <w:szCs w:val="20"/>
        </w:rPr>
        <w:t xml:space="preserve"> achieve</w:t>
      </w:r>
      <w:r w:rsidR="007430BB" w:rsidRPr="007C5EBB">
        <w:rPr>
          <w:rFonts w:ascii="Times New Roman" w:hAnsi="Times New Roman" w:cs="Times New Roman"/>
          <w:sz w:val="20"/>
          <w:szCs w:val="20"/>
        </w:rPr>
        <w:t>d</w:t>
      </w:r>
      <w:r w:rsidRPr="007C5EBB">
        <w:rPr>
          <w:rFonts w:ascii="Times New Roman" w:hAnsi="Times New Roman" w:cs="Times New Roman"/>
          <w:sz w:val="20"/>
          <w:szCs w:val="20"/>
        </w:rPr>
        <w:t xml:space="preserve"> the target for the second objective. </w:t>
      </w:r>
      <w:r w:rsidR="00685553" w:rsidRPr="007C5EBB">
        <w:rPr>
          <w:rFonts w:ascii="Times New Roman" w:hAnsi="Times New Roman" w:cs="Times New Roman"/>
          <w:sz w:val="20"/>
          <w:szCs w:val="20"/>
        </w:rPr>
        <w:t>Nevada exceeded the target for Objective 2 with a prevalence of 12.3% for untreated decay</w:t>
      </w:r>
      <w:r w:rsidR="003831D9" w:rsidRPr="007C5EBB">
        <w:rPr>
          <w:rFonts w:ascii="Times New Roman" w:hAnsi="Times New Roman" w:cs="Times New Roman"/>
          <w:sz w:val="20"/>
          <w:szCs w:val="20"/>
        </w:rPr>
        <w:t>.</w:t>
      </w:r>
      <w:r w:rsidR="00685553" w:rsidRPr="007C5EBB">
        <w:rPr>
          <w:rFonts w:ascii="Times New Roman" w:hAnsi="Times New Roman" w:cs="Times New Roman"/>
          <w:sz w:val="20"/>
          <w:szCs w:val="20"/>
        </w:rPr>
        <w:t xml:space="preserve"> </w:t>
      </w:r>
      <w:r w:rsidR="003831D9" w:rsidRPr="007C5EBB">
        <w:rPr>
          <w:rFonts w:ascii="Times New Roman" w:hAnsi="Times New Roman" w:cs="Times New Roman"/>
          <w:sz w:val="20"/>
          <w:szCs w:val="20"/>
        </w:rPr>
        <w:t>In order to meet O</w:t>
      </w:r>
      <w:r w:rsidR="007430BB" w:rsidRPr="007C5EBB">
        <w:rPr>
          <w:rFonts w:ascii="Times New Roman" w:hAnsi="Times New Roman" w:cs="Times New Roman"/>
          <w:sz w:val="20"/>
          <w:szCs w:val="20"/>
        </w:rPr>
        <w:t xml:space="preserve">bjective 1 by 2020, </w:t>
      </w:r>
      <w:r w:rsidRPr="007C5EBB">
        <w:rPr>
          <w:rFonts w:ascii="Times New Roman" w:hAnsi="Times New Roman" w:cs="Times New Roman"/>
          <w:sz w:val="20"/>
          <w:szCs w:val="20"/>
        </w:rPr>
        <w:t xml:space="preserve">Nevada must reduce the prevalence of caries experience </w:t>
      </w:r>
      <w:r w:rsidR="00461D77" w:rsidRPr="007C5EBB">
        <w:rPr>
          <w:rFonts w:ascii="Times New Roman" w:hAnsi="Times New Roman" w:cs="Times New Roman"/>
          <w:sz w:val="20"/>
          <w:szCs w:val="20"/>
        </w:rPr>
        <w:t xml:space="preserve">(presence of cavities or presence of filled teeth/treated cavities) </w:t>
      </w:r>
      <w:r w:rsidRPr="007C5EBB">
        <w:rPr>
          <w:rFonts w:ascii="Times New Roman" w:hAnsi="Times New Roman" w:cs="Times New Roman"/>
          <w:sz w:val="20"/>
          <w:szCs w:val="20"/>
        </w:rPr>
        <w:t xml:space="preserve">by 36.3%, dropping from 47.1% to 30%. </w:t>
      </w:r>
    </w:p>
    <w:p w14:paraId="06A613CF" w14:textId="21AF7828" w:rsidR="0031742B" w:rsidRPr="007C5EBB" w:rsidRDefault="004D59A5" w:rsidP="00BE115B">
      <w:pPr>
        <w:pStyle w:val="CommentText"/>
        <w:ind w:firstLine="360"/>
        <w:rPr>
          <w:rFonts w:ascii="Times New Roman" w:hAnsi="Times New Roman" w:cs="Times New Roman"/>
        </w:rPr>
      </w:pPr>
      <w:r w:rsidRPr="007C5EBB">
        <w:rPr>
          <w:rFonts w:ascii="Times New Roman" w:hAnsi="Times New Roman" w:cs="Times New Roman"/>
        </w:rPr>
        <w:t>Oral diseases are progressive and difficult to manage if left untreated</w:t>
      </w:r>
      <w:r w:rsidR="00925D56" w:rsidRPr="007C5EBB">
        <w:rPr>
          <w:rFonts w:ascii="Times New Roman" w:hAnsi="Times New Roman" w:cs="Times New Roman"/>
        </w:rPr>
        <w:t>,</w:t>
      </w:r>
      <w:r w:rsidR="00065AEF" w:rsidRPr="007C5EBB">
        <w:rPr>
          <w:rFonts w:ascii="Times New Roman" w:hAnsi="Times New Roman" w:cs="Times New Roman"/>
        </w:rPr>
        <w:t xml:space="preserve"> but</w:t>
      </w:r>
      <w:r w:rsidRPr="007C5EBB">
        <w:rPr>
          <w:rFonts w:ascii="Times New Roman" w:hAnsi="Times New Roman" w:cs="Times New Roman"/>
        </w:rPr>
        <w:t xml:space="preserve"> are preventable. Numerous programs across the </w:t>
      </w:r>
      <w:r w:rsidR="00033D3A" w:rsidRPr="007C5EBB">
        <w:rPr>
          <w:rFonts w:ascii="Times New Roman" w:hAnsi="Times New Roman" w:cs="Times New Roman"/>
        </w:rPr>
        <w:t>S</w:t>
      </w:r>
      <w:r w:rsidRPr="007C5EBB">
        <w:rPr>
          <w:rFonts w:ascii="Times New Roman" w:hAnsi="Times New Roman" w:cs="Times New Roman"/>
        </w:rPr>
        <w:t xml:space="preserve">tate of Nevada </w:t>
      </w:r>
      <w:r w:rsidR="00065AEF" w:rsidRPr="007C5EBB">
        <w:rPr>
          <w:rFonts w:ascii="Times New Roman" w:hAnsi="Times New Roman" w:cs="Times New Roman"/>
        </w:rPr>
        <w:t>have been</w:t>
      </w:r>
      <w:r w:rsidRPr="007C5EBB">
        <w:rPr>
          <w:rFonts w:ascii="Times New Roman" w:hAnsi="Times New Roman" w:cs="Times New Roman"/>
        </w:rPr>
        <w:t xml:space="preserve"> working to improve children’s oral health through education, prevention, and increasing access to dental care. Two popular programs </w:t>
      </w:r>
      <w:r w:rsidR="00065AEF" w:rsidRPr="007C5EBB">
        <w:rPr>
          <w:rFonts w:ascii="Times New Roman" w:hAnsi="Times New Roman" w:cs="Times New Roman"/>
        </w:rPr>
        <w:t>include</w:t>
      </w:r>
      <w:r w:rsidRPr="007C5EBB">
        <w:rPr>
          <w:rFonts w:ascii="Times New Roman" w:hAnsi="Times New Roman" w:cs="Times New Roman"/>
        </w:rPr>
        <w:t xml:space="preserve"> Women, Infants and Children (WIC) and Head </w:t>
      </w:r>
      <w:r w:rsidR="00550CA8" w:rsidRPr="007C5EBB">
        <w:rPr>
          <w:rFonts w:ascii="Times New Roman" w:hAnsi="Times New Roman" w:cs="Times New Roman"/>
        </w:rPr>
        <w:t>Start which</w:t>
      </w:r>
      <w:r w:rsidRPr="007C5EBB">
        <w:rPr>
          <w:rFonts w:ascii="Times New Roman" w:hAnsi="Times New Roman" w:cs="Times New Roman"/>
        </w:rPr>
        <w:t xml:space="preserve"> share a common goal: To promote positive health and nutrit</w:t>
      </w:r>
      <w:r w:rsidR="00D65F3E" w:rsidRPr="007C5EBB">
        <w:rPr>
          <w:rFonts w:ascii="Times New Roman" w:hAnsi="Times New Roman" w:cs="Times New Roman"/>
        </w:rPr>
        <w:t>ion status of young familie</w:t>
      </w:r>
      <w:r w:rsidR="00550CA8" w:rsidRPr="007C5EBB">
        <w:rPr>
          <w:rFonts w:ascii="Times New Roman" w:hAnsi="Times New Roman" w:cs="Times New Roman"/>
        </w:rPr>
        <w:t>s</w:t>
      </w:r>
      <w:r w:rsidR="00371F46" w:rsidRPr="007C5EBB">
        <w:rPr>
          <w:rFonts w:ascii="Times New Roman" w:hAnsi="Times New Roman" w:cs="Times New Roman"/>
        </w:rPr>
        <w:t xml:space="preserve"> (</w:t>
      </w:r>
      <w:r w:rsidR="00371F46" w:rsidRPr="007C5EBB">
        <w:rPr>
          <w:rFonts w:ascii="Times New Roman" w:eastAsia="MS Mincho" w:hAnsi="Times New Roman" w:cs="Times New Roman"/>
          <w:lang w:eastAsia="ja-JP"/>
        </w:rPr>
        <w:t>United States Department of Agricult</w:t>
      </w:r>
      <w:r w:rsidR="002568FC" w:rsidRPr="007C5EBB">
        <w:rPr>
          <w:rFonts w:ascii="Times New Roman" w:eastAsia="MS Mincho" w:hAnsi="Times New Roman" w:cs="Times New Roman"/>
          <w:lang w:eastAsia="ja-JP"/>
        </w:rPr>
        <w:t>ure</w:t>
      </w:r>
      <w:r w:rsidR="00371F46" w:rsidRPr="007C5EBB">
        <w:rPr>
          <w:rFonts w:ascii="Times New Roman" w:eastAsia="MS Mincho" w:hAnsi="Times New Roman" w:cs="Times New Roman"/>
          <w:lang w:eastAsia="ja-JP"/>
        </w:rPr>
        <w:t>, 1999)</w:t>
      </w:r>
      <w:r w:rsidRPr="007C5EBB">
        <w:rPr>
          <w:rFonts w:ascii="Times New Roman" w:hAnsi="Times New Roman" w:cs="Times New Roman"/>
        </w:rPr>
        <w:t>.</w:t>
      </w:r>
      <w:r w:rsidR="0031742B" w:rsidRPr="007C5EBB">
        <w:rPr>
          <w:rFonts w:ascii="Times New Roman" w:hAnsi="Times New Roman" w:cs="Times New Roman"/>
        </w:rPr>
        <w:t xml:space="preserve"> </w:t>
      </w:r>
    </w:p>
    <w:p w14:paraId="103B3DD1" w14:textId="63A157DE" w:rsidR="00685553" w:rsidRPr="007C5EBB" w:rsidRDefault="00685553" w:rsidP="00BE115B">
      <w:pPr>
        <w:pStyle w:val="CommentText"/>
        <w:ind w:firstLine="360"/>
        <w:rPr>
          <w:rFonts w:ascii="Times New Roman" w:hAnsi="Times New Roman" w:cs="Times New Roman"/>
        </w:rPr>
      </w:pPr>
      <w:r w:rsidRPr="007C5EBB">
        <w:rPr>
          <w:rFonts w:ascii="Times New Roman" w:hAnsi="Times New Roman" w:cs="Times New Roman"/>
        </w:rPr>
        <w:t>Both</w:t>
      </w:r>
      <w:r w:rsidR="0031742B" w:rsidRPr="007C5EBB">
        <w:rPr>
          <w:rFonts w:ascii="Times New Roman" w:hAnsi="Times New Roman" w:cs="Times New Roman"/>
        </w:rPr>
        <w:t xml:space="preserve"> programs receive oral health education in family meetings</w:t>
      </w:r>
      <w:r w:rsidRPr="007C5EBB">
        <w:rPr>
          <w:rFonts w:ascii="Times New Roman" w:hAnsi="Times New Roman" w:cs="Times New Roman"/>
        </w:rPr>
        <w:t xml:space="preserve"> with the staff that are offered once a year.  </w:t>
      </w:r>
      <w:r w:rsidR="0031742B" w:rsidRPr="007C5EBB">
        <w:rPr>
          <w:rFonts w:ascii="Times New Roman" w:hAnsi="Times New Roman" w:cs="Times New Roman"/>
        </w:rPr>
        <w:t xml:space="preserve">The parents and children are in attendance. The WIC and Head Start centers </w:t>
      </w:r>
      <w:r w:rsidRPr="007C5EBB">
        <w:rPr>
          <w:rFonts w:ascii="Times New Roman" w:hAnsi="Times New Roman" w:cs="Times New Roman"/>
        </w:rPr>
        <w:t>provide</w:t>
      </w:r>
      <w:r w:rsidR="0031742B" w:rsidRPr="007C5EBB">
        <w:rPr>
          <w:rFonts w:ascii="Times New Roman" w:hAnsi="Times New Roman" w:cs="Times New Roman"/>
        </w:rPr>
        <w:t xml:space="preserve"> toothbrushes and toothpaste to encourage the </w:t>
      </w:r>
      <w:r w:rsidRPr="007C5EBB">
        <w:rPr>
          <w:rFonts w:ascii="Times New Roman" w:hAnsi="Times New Roman" w:cs="Times New Roman"/>
        </w:rPr>
        <w:t xml:space="preserve">children </w:t>
      </w:r>
      <w:r w:rsidR="0031742B" w:rsidRPr="007C5EBB">
        <w:rPr>
          <w:rFonts w:ascii="Times New Roman" w:hAnsi="Times New Roman" w:cs="Times New Roman"/>
        </w:rPr>
        <w:t xml:space="preserve">to brush after lunch. </w:t>
      </w:r>
    </w:p>
    <w:p w14:paraId="0B34392F" w14:textId="33024713" w:rsidR="0038525A" w:rsidRPr="007C5EBB" w:rsidRDefault="00685553" w:rsidP="00BE115B">
      <w:pPr>
        <w:ind w:firstLine="360"/>
        <w:rPr>
          <w:rFonts w:ascii="Times New Roman" w:hAnsi="Times New Roman" w:cs="Times New Roman"/>
          <w:b/>
          <w:sz w:val="20"/>
          <w:szCs w:val="20"/>
        </w:rPr>
      </w:pPr>
      <w:r w:rsidRPr="007C5EBB">
        <w:rPr>
          <w:rFonts w:ascii="Times New Roman" w:hAnsi="Times New Roman" w:cs="Times New Roman"/>
          <w:sz w:val="20"/>
          <w:szCs w:val="20"/>
        </w:rPr>
        <w:t xml:space="preserve">Early screening and prevention programs such as those provide by WIC and Head Start </w:t>
      </w:r>
      <w:proofErr w:type="gramStart"/>
      <w:r w:rsidR="00C50235">
        <w:rPr>
          <w:rFonts w:ascii="Times New Roman" w:hAnsi="Times New Roman" w:cs="Times New Roman"/>
          <w:sz w:val="20"/>
          <w:szCs w:val="20"/>
        </w:rPr>
        <w:t>have</w:t>
      </w:r>
      <w:proofErr w:type="gramEnd"/>
      <w:r w:rsidRPr="007C5EBB">
        <w:rPr>
          <w:rFonts w:ascii="Times New Roman" w:hAnsi="Times New Roman" w:cs="Times New Roman"/>
          <w:sz w:val="20"/>
          <w:szCs w:val="20"/>
        </w:rPr>
        <w:t xml:space="preserve"> the potential to prevent E</w:t>
      </w:r>
      <w:r w:rsidR="00F50DB4" w:rsidRPr="007C5EBB">
        <w:rPr>
          <w:rFonts w:ascii="Times New Roman" w:hAnsi="Times New Roman" w:cs="Times New Roman"/>
          <w:sz w:val="20"/>
          <w:szCs w:val="20"/>
        </w:rPr>
        <w:t>arly Childhood Caries (ECC)</w:t>
      </w:r>
      <w:r w:rsidRPr="007C5EBB">
        <w:rPr>
          <w:rFonts w:ascii="Times New Roman" w:hAnsi="Times New Roman" w:cs="Times New Roman"/>
          <w:sz w:val="20"/>
          <w:szCs w:val="20"/>
        </w:rPr>
        <w:t>. This study compared</w:t>
      </w:r>
      <w:r w:rsidR="00C219FB" w:rsidRPr="007C5EBB">
        <w:rPr>
          <w:rFonts w:ascii="Times New Roman" w:hAnsi="Times New Roman" w:cs="Times New Roman"/>
          <w:sz w:val="20"/>
          <w:szCs w:val="20"/>
        </w:rPr>
        <w:t xml:space="preserve"> the correlations </w:t>
      </w:r>
      <w:r w:rsidRPr="007C5EBB">
        <w:rPr>
          <w:rFonts w:ascii="Times New Roman" w:hAnsi="Times New Roman" w:cs="Times New Roman"/>
          <w:sz w:val="20"/>
          <w:szCs w:val="20"/>
        </w:rPr>
        <w:t>of oral health practice</w:t>
      </w:r>
      <w:r w:rsidR="003831D9" w:rsidRPr="007C5EBB">
        <w:rPr>
          <w:rFonts w:ascii="Times New Roman" w:hAnsi="Times New Roman" w:cs="Times New Roman"/>
          <w:sz w:val="20"/>
          <w:szCs w:val="20"/>
        </w:rPr>
        <w:t xml:space="preserve">s among WIC and </w:t>
      </w:r>
      <w:r w:rsidRPr="007C5EBB">
        <w:rPr>
          <w:rFonts w:ascii="Times New Roman" w:hAnsi="Times New Roman" w:cs="Times New Roman"/>
          <w:sz w:val="20"/>
          <w:szCs w:val="20"/>
        </w:rPr>
        <w:t>Head Start participants and non-participants of either progra</w:t>
      </w:r>
      <w:r w:rsidR="0038525A" w:rsidRPr="007C5EBB">
        <w:rPr>
          <w:rFonts w:ascii="Times New Roman" w:hAnsi="Times New Roman" w:cs="Times New Roman"/>
          <w:sz w:val="20"/>
          <w:szCs w:val="20"/>
        </w:rPr>
        <w:t>m on the oral health status of a children’s cohort in Nevada</w:t>
      </w:r>
      <w:r w:rsidR="00550CA8" w:rsidRPr="007C5EBB">
        <w:rPr>
          <w:rFonts w:ascii="Times New Roman" w:hAnsi="Times New Roman" w:cs="Times New Roman"/>
          <w:sz w:val="20"/>
          <w:szCs w:val="20"/>
        </w:rPr>
        <w:t>.</w:t>
      </w:r>
    </w:p>
    <w:p w14:paraId="79957147" w14:textId="77777777" w:rsidR="0038525A" w:rsidRPr="007C5EBB" w:rsidRDefault="0038525A" w:rsidP="004D59A5">
      <w:pPr>
        <w:rPr>
          <w:rFonts w:ascii="Times New Roman" w:hAnsi="Times New Roman" w:cs="Times New Roman"/>
          <w:b/>
          <w:sz w:val="20"/>
          <w:szCs w:val="20"/>
        </w:rPr>
      </w:pPr>
    </w:p>
    <w:p w14:paraId="1A46774E" w14:textId="3D5F9662" w:rsidR="00550CA8" w:rsidRDefault="00813B4B" w:rsidP="00550CA8">
      <w:pPr>
        <w:rPr>
          <w:rFonts w:ascii="Times New Roman" w:hAnsi="Times New Roman" w:cs="Times New Roman"/>
          <w:b/>
          <w:sz w:val="20"/>
          <w:szCs w:val="20"/>
        </w:rPr>
      </w:pPr>
      <w:r>
        <w:rPr>
          <w:rFonts w:ascii="Times New Roman" w:hAnsi="Times New Roman" w:cs="Times New Roman"/>
          <w:b/>
          <w:sz w:val="20"/>
          <w:szCs w:val="20"/>
        </w:rPr>
        <w:lastRenderedPageBreak/>
        <w:t>METHODS</w:t>
      </w:r>
    </w:p>
    <w:p w14:paraId="1718F60F" w14:textId="77777777" w:rsidR="00813B4B" w:rsidRPr="007C5EBB" w:rsidRDefault="00813B4B" w:rsidP="00550CA8">
      <w:pPr>
        <w:rPr>
          <w:rFonts w:ascii="Times New Roman" w:hAnsi="Times New Roman" w:cs="Times New Roman"/>
          <w:b/>
          <w:sz w:val="20"/>
          <w:szCs w:val="20"/>
        </w:rPr>
      </w:pPr>
    </w:p>
    <w:p w14:paraId="49909CAB" w14:textId="589EAD93" w:rsidR="00550CA8" w:rsidRPr="00813B4B" w:rsidRDefault="00550CA8" w:rsidP="004D59A5">
      <w:pPr>
        <w:rPr>
          <w:rFonts w:ascii="Times New Roman" w:hAnsi="Times New Roman" w:cs="Times New Roman"/>
          <w:b/>
          <w:i/>
          <w:sz w:val="20"/>
          <w:szCs w:val="20"/>
        </w:rPr>
      </w:pPr>
      <w:r w:rsidRPr="00813B4B">
        <w:rPr>
          <w:rFonts w:ascii="Times New Roman" w:hAnsi="Times New Roman" w:cs="Times New Roman"/>
          <w:b/>
          <w:i/>
          <w:sz w:val="20"/>
          <w:szCs w:val="20"/>
        </w:rPr>
        <w:t>Subject Recruitment:</w:t>
      </w:r>
    </w:p>
    <w:p w14:paraId="4FCB2374" w14:textId="4A764511" w:rsidR="0038525A" w:rsidRPr="007C5EBB" w:rsidRDefault="0038525A" w:rsidP="00813B4B">
      <w:pPr>
        <w:ind w:firstLine="360"/>
        <w:rPr>
          <w:rFonts w:ascii="Times New Roman" w:hAnsi="Times New Roman" w:cs="Times New Roman"/>
          <w:sz w:val="20"/>
          <w:szCs w:val="20"/>
        </w:rPr>
      </w:pPr>
      <w:r w:rsidRPr="007C5EBB">
        <w:rPr>
          <w:rFonts w:ascii="Times New Roman" w:hAnsi="Times New Roman" w:cs="Times New Roman"/>
          <w:sz w:val="20"/>
          <w:szCs w:val="20"/>
        </w:rPr>
        <w:t>WIC is one of the largest providers of services to low-income young children who may be at high risk for developing dental decay</w:t>
      </w:r>
      <w:r w:rsidR="00371F46" w:rsidRPr="007C5EBB">
        <w:rPr>
          <w:rFonts w:ascii="Times New Roman" w:hAnsi="Times New Roman" w:cs="Times New Roman"/>
          <w:sz w:val="20"/>
          <w:szCs w:val="20"/>
        </w:rPr>
        <w:t xml:space="preserve"> (</w:t>
      </w:r>
      <w:r w:rsidR="00371F46" w:rsidRPr="007C5EBB">
        <w:rPr>
          <w:rFonts w:ascii="Times New Roman" w:eastAsia="MS Mincho" w:hAnsi="Times New Roman" w:cs="Times New Roman"/>
          <w:sz w:val="20"/>
          <w:szCs w:val="20"/>
          <w:lang w:eastAsia="ja-JP"/>
        </w:rPr>
        <w:t>Center for Oral Health, 2011)</w:t>
      </w:r>
      <w:r w:rsidRPr="007C5EBB">
        <w:rPr>
          <w:rFonts w:ascii="Times New Roman" w:hAnsi="Times New Roman" w:cs="Times New Roman"/>
          <w:sz w:val="20"/>
          <w:szCs w:val="20"/>
        </w:rPr>
        <w:t>. According to the Center for Oral Health, WIC is the entry point for oral health assessment, preventive services, and referral for regular follow – up care. WIC partners with public health clinics, community health clinics and private dental practitioners to provi</w:t>
      </w:r>
      <w:r w:rsidR="00625E6C" w:rsidRPr="007C5EBB">
        <w:rPr>
          <w:rFonts w:ascii="Times New Roman" w:hAnsi="Times New Roman" w:cs="Times New Roman"/>
          <w:sz w:val="20"/>
          <w:szCs w:val="20"/>
        </w:rPr>
        <w:t xml:space="preserve">de onsite oral health services and </w:t>
      </w:r>
      <w:r w:rsidRPr="007C5EBB">
        <w:rPr>
          <w:rFonts w:ascii="Times New Roman" w:hAnsi="Times New Roman" w:cs="Times New Roman"/>
          <w:sz w:val="20"/>
          <w:szCs w:val="20"/>
        </w:rPr>
        <w:t>access to care</w:t>
      </w:r>
      <w:r w:rsidR="00625E6C" w:rsidRPr="007C5EBB">
        <w:rPr>
          <w:rFonts w:ascii="Times New Roman" w:hAnsi="Times New Roman" w:cs="Times New Roman"/>
          <w:sz w:val="20"/>
          <w:szCs w:val="20"/>
        </w:rPr>
        <w:t xml:space="preserve"> to WIC participants. T</w:t>
      </w:r>
      <w:r w:rsidRPr="007C5EBB">
        <w:rPr>
          <w:rFonts w:ascii="Times New Roman" w:hAnsi="Times New Roman" w:cs="Times New Roman"/>
          <w:sz w:val="20"/>
          <w:szCs w:val="20"/>
        </w:rPr>
        <w:t>he mini</w:t>
      </w:r>
      <w:r w:rsidR="00625E6C" w:rsidRPr="007C5EBB">
        <w:rPr>
          <w:rFonts w:ascii="Times New Roman" w:hAnsi="Times New Roman" w:cs="Times New Roman"/>
          <w:sz w:val="20"/>
          <w:szCs w:val="20"/>
        </w:rPr>
        <w:t>mum services recommended</w:t>
      </w:r>
      <w:r w:rsidRPr="007C5EBB">
        <w:rPr>
          <w:rFonts w:ascii="Times New Roman" w:hAnsi="Times New Roman" w:cs="Times New Roman"/>
          <w:sz w:val="20"/>
          <w:szCs w:val="20"/>
        </w:rPr>
        <w:t xml:space="preserve"> include</w:t>
      </w:r>
      <w:r w:rsidR="00371F46" w:rsidRPr="007C5EBB">
        <w:rPr>
          <w:rFonts w:ascii="Times New Roman" w:hAnsi="Times New Roman" w:cs="Times New Roman"/>
          <w:sz w:val="20"/>
          <w:szCs w:val="20"/>
        </w:rPr>
        <w:t xml:space="preserve"> (</w:t>
      </w:r>
      <w:r w:rsidR="00371F46" w:rsidRPr="007C5EBB">
        <w:rPr>
          <w:rFonts w:ascii="Times New Roman" w:eastAsia="MS Mincho" w:hAnsi="Times New Roman" w:cs="Times New Roman"/>
          <w:sz w:val="20"/>
          <w:szCs w:val="20"/>
          <w:lang w:eastAsia="ja-JP"/>
        </w:rPr>
        <w:t>Center for Oral Health, 2011)</w:t>
      </w:r>
      <w:r w:rsidRPr="007C5EBB">
        <w:rPr>
          <w:rFonts w:ascii="Times New Roman" w:hAnsi="Times New Roman" w:cs="Times New Roman"/>
          <w:sz w:val="20"/>
          <w:szCs w:val="20"/>
        </w:rPr>
        <w:t>:</w:t>
      </w:r>
    </w:p>
    <w:p w14:paraId="3F1BF527"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Caregiver Oral Health Education</w:t>
      </w:r>
    </w:p>
    <w:p w14:paraId="2E98B51B"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Caregiver Oral Health Interview</w:t>
      </w:r>
    </w:p>
    <w:p w14:paraId="3368A1C7" w14:textId="59A769E0" w:rsidR="0038525A" w:rsidRPr="007C5EBB" w:rsidRDefault="00720429"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Tooth brushing</w:t>
      </w:r>
      <w:r w:rsidR="0038525A" w:rsidRPr="007C5EBB">
        <w:rPr>
          <w:rFonts w:ascii="Times New Roman" w:hAnsi="Times New Roman" w:cs="Times New Roman"/>
          <w:sz w:val="20"/>
          <w:szCs w:val="20"/>
        </w:rPr>
        <w:t xml:space="preserve"> with the Child</w:t>
      </w:r>
    </w:p>
    <w:p w14:paraId="50132862"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Oral Health Assessment of Child</w:t>
      </w:r>
    </w:p>
    <w:p w14:paraId="0A011052"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Fluoride Varnish Treatment for the Child</w:t>
      </w:r>
    </w:p>
    <w:p w14:paraId="65DBCFA9"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Anticipatory Guidance and Goal Setting with Caregiver</w:t>
      </w:r>
    </w:p>
    <w:p w14:paraId="587D27C4" w14:textId="22376E73" w:rsidR="0038525A" w:rsidRPr="00813B4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Refer / Arrange for Ongoing Care or Treatment</w:t>
      </w:r>
    </w:p>
    <w:p w14:paraId="36F82B06" w14:textId="4394F284" w:rsidR="0038525A" w:rsidRPr="007C5EBB" w:rsidRDefault="0038525A" w:rsidP="00813B4B">
      <w:pPr>
        <w:ind w:firstLine="360"/>
        <w:rPr>
          <w:rFonts w:ascii="Times New Roman" w:hAnsi="Times New Roman" w:cs="Times New Roman"/>
          <w:sz w:val="20"/>
          <w:szCs w:val="20"/>
        </w:rPr>
      </w:pPr>
      <w:r w:rsidRPr="007C5EBB">
        <w:rPr>
          <w:rFonts w:ascii="Times New Roman" w:hAnsi="Times New Roman" w:cs="Times New Roman"/>
          <w:sz w:val="20"/>
          <w:szCs w:val="20"/>
        </w:rPr>
        <w:t>These services typically take 15 to 20 minutes per child for the initial visit, and afterwards, collaboration with public health organizations, Federally Qualified Health Centers (FQHCs), community dental clinics, and private dental practices are needed to establish a dental home for diagnostic and preventive services and any treatment needed</w:t>
      </w:r>
      <w:r w:rsidR="00371F46" w:rsidRPr="007C5EBB">
        <w:rPr>
          <w:rFonts w:ascii="Times New Roman" w:hAnsi="Times New Roman" w:cs="Times New Roman"/>
          <w:sz w:val="20"/>
          <w:szCs w:val="20"/>
        </w:rPr>
        <w:t xml:space="preserve"> (</w:t>
      </w:r>
      <w:proofErr w:type="spellStart"/>
      <w:r w:rsidR="00FA3D87" w:rsidRPr="007C5EBB">
        <w:rPr>
          <w:rFonts w:ascii="Times New Roman" w:eastAsia="MS Mincho" w:hAnsi="Times New Roman" w:cs="Times New Roman"/>
          <w:sz w:val="20"/>
          <w:szCs w:val="20"/>
          <w:lang w:eastAsia="ja-JP"/>
        </w:rPr>
        <w:t>Anselmo</w:t>
      </w:r>
      <w:proofErr w:type="spellEnd"/>
      <w:r w:rsidR="00FA3D87" w:rsidRPr="007C5EBB">
        <w:rPr>
          <w:rFonts w:ascii="Times New Roman" w:eastAsia="MS Mincho" w:hAnsi="Times New Roman" w:cs="Times New Roman"/>
          <w:sz w:val="20"/>
          <w:szCs w:val="20"/>
          <w:lang w:eastAsia="ja-JP"/>
        </w:rPr>
        <w:t>, McClure</w:t>
      </w:r>
      <w:r w:rsidR="00371F46" w:rsidRPr="007C5EBB">
        <w:rPr>
          <w:rFonts w:ascii="Times New Roman" w:eastAsia="MS Mincho" w:hAnsi="Times New Roman" w:cs="Times New Roman"/>
          <w:sz w:val="20"/>
          <w:szCs w:val="20"/>
          <w:lang w:eastAsia="ja-JP"/>
        </w:rPr>
        <w:t xml:space="preserve">, </w:t>
      </w:r>
      <w:r w:rsidR="00FA3D87" w:rsidRPr="007C5EBB">
        <w:rPr>
          <w:rFonts w:ascii="Times New Roman" w:eastAsia="MS Mincho" w:hAnsi="Times New Roman" w:cs="Times New Roman"/>
          <w:sz w:val="20"/>
          <w:szCs w:val="20"/>
          <w:lang w:eastAsia="ja-JP"/>
        </w:rPr>
        <w:t xml:space="preserve">&amp; Russell, </w:t>
      </w:r>
      <w:r w:rsidR="00371F46" w:rsidRPr="007C5EBB">
        <w:rPr>
          <w:rFonts w:ascii="Times New Roman" w:hAnsi="Times New Roman" w:cs="Times New Roman"/>
          <w:sz w:val="20"/>
          <w:szCs w:val="20"/>
        </w:rPr>
        <w:t xml:space="preserve"> 2012).</w:t>
      </w:r>
    </w:p>
    <w:p w14:paraId="699749F6" w14:textId="28CC2D33" w:rsidR="0038525A" w:rsidRPr="007C5EBB" w:rsidRDefault="0038525A" w:rsidP="00813B4B">
      <w:pPr>
        <w:ind w:firstLine="360"/>
        <w:rPr>
          <w:rFonts w:ascii="Times New Roman" w:hAnsi="Times New Roman" w:cs="Times New Roman"/>
          <w:sz w:val="20"/>
          <w:szCs w:val="20"/>
        </w:rPr>
      </w:pPr>
      <w:r w:rsidRPr="007C5EBB">
        <w:rPr>
          <w:rFonts w:ascii="Times New Roman" w:hAnsi="Times New Roman" w:cs="Times New Roman"/>
          <w:sz w:val="20"/>
          <w:szCs w:val="20"/>
        </w:rPr>
        <w:t>The Head Start program helps parents obtain oral health examinations and follow – up care. The Head</w:t>
      </w:r>
      <w:r w:rsidR="00625E6C" w:rsidRPr="007C5EBB">
        <w:rPr>
          <w:rFonts w:ascii="Times New Roman" w:hAnsi="Times New Roman" w:cs="Times New Roman"/>
          <w:sz w:val="20"/>
          <w:szCs w:val="20"/>
        </w:rPr>
        <w:t xml:space="preserve"> Start staff is required to track the </w:t>
      </w:r>
      <w:r w:rsidRPr="007C5EBB">
        <w:rPr>
          <w:rFonts w:ascii="Times New Roman" w:hAnsi="Times New Roman" w:cs="Times New Roman"/>
          <w:sz w:val="20"/>
          <w:szCs w:val="20"/>
        </w:rPr>
        <w:t>provision of oral health care</w:t>
      </w:r>
      <w:r w:rsidR="00625E6C" w:rsidRPr="007C5EBB">
        <w:rPr>
          <w:rFonts w:ascii="Times New Roman" w:hAnsi="Times New Roman" w:cs="Times New Roman"/>
          <w:sz w:val="20"/>
          <w:szCs w:val="20"/>
        </w:rPr>
        <w:t xml:space="preserve"> to children</w:t>
      </w:r>
      <w:r w:rsidRPr="007C5EBB">
        <w:rPr>
          <w:rFonts w:ascii="Times New Roman" w:hAnsi="Times New Roman" w:cs="Times New Roman"/>
          <w:sz w:val="20"/>
          <w:szCs w:val="20"/>
        </w:rPr>
        <w:t xml:space="preserve"> (i.e. establishing a dental home and following the Early and Periodic Screening, Diagnostic, and Treatment Program [EPSDT schedule])</w:t>
      </w:r>
      <w:r w:rsidR="00371F46" w:rsidRPr="007C5EBB">
        <w:rPr>
          <w:rFonts w:ascii="Times New Roman" w:hAnsi="Times New Roman" w:cs="Times New Roman"/>
          <w:sz w:val="20"/>
          <w:szCs w:val="20"/>
        </w:rPr>
        <w:t xml:space="preserve"> (</w:t>
      </w:r>
      <w:r w:rsidR="00FA3D87" w:rsidRPr="007C5EBB">
        <w:rPr>
          <w:rFonts w:ascii="Times New Roman" w:hAnsi="Times New Roman" w:cs="Times New Roman"/>
          <w:sz w:val="20"/>
          <w:szCs w:val="20"/>
        </w:rPr>
        <w:t>Holt</w:t>
      </w:r>
      <w:r w:rsidR="00371F46" w:rsidRPr="007C5EBB">
        <w:rPr>
          <w:rFonts w:ascii="Times New Roman" w:hAnsi="Times New Roman" w:cs="Times New Roman"/>
          <w:sz w:val="20"/>
          <w:szCs w:val="20"/>
        </w:rPr>
        <w:t>, 2011)</w:t>
      </w:r>
      <w:r w:rsidRPr="007C5EBB">
        <w:rPr>
          <w:rFonts w:ascii="Times New Roman" w:hAnsi="Times New Roman" w:cs="Times New Roman"/>
          <w:sz w:val="20"/>
          <w:szCs w:val="20"/>
        </w:rPr>
        <w:t>. Head Start’s basic screening guidelines include indications of</w:t>
      </w:r>
      <w:r w:rsidR="00371F46" w:rsidRPr="007C5EBB">
        <w:rPr>
          <w:rFonts w:ascii="Times New Roman" w:hAnsi="Times New Roman" w:cs="Times New Roman"/>
          <w:sz w:val="20"/>
          <w:szCs w:val="20"/>
        </w:rPr>
        <w:t xml:space="preserve"> </w:t>
      </w:r>
      <w:r w:rsidR="00625E6C" w:rsidRPr="007C5EBB">
        <w:rPr>
          <w:rFonts w:ascii="Times New Roman" w:hAnsi="Times New Roman" w:cs="Times New Roman"/>
          <w:sz w:val="20"/>
          <w:szCs w:val="20"/>
        </w:rPr>
        <w:t>any of the following</w:t>
      </w:r>
      <w:r w:rsidR="00FA3D87" w:rsidRPr="007C5EBB">
        <w:rPr>
          <w:rFonts w:ascii="Times New Roman" w:hAnsi="Times New Roman" w:cs="Times New Roman"/>
          <w:sz w:val="20"/>
          <w:szCs w:val="20"/>
        </w:rPr>
        <w:t xml:space="preserve"> </w:t>
      </w:r>
      <w:r w:rsidR="001B14E4" w:rsidRPr="007C5EBB">
        <w:rPr>
          <w:rFonts w:ascii="Times New Roman" w:hAnsi="Times New Roman" w:cs="Times New Roman"/>
          <w:sz w:val="20"/>
          <w:szCs w:val="20"/>
        </w:rPr>
        <w:t>(Department of Health and Human Services, 2007</w:t>
      </w:r>
      <w:r w:rsidR="00371F46" w:rsidRPr="007C5EBB">
        <w:rPr>
          <w:rFonts w:ascii="Times New Roman" w:hAnsi="Times New Roman" w:cs="Times New Roman"/>
          <w:sz w:val="20"/>
          <w:szCs w:val="20"/>
        </w:rPr>
        <w:t>)</w:t>
      </w:r>
      <w:r w:rsidRPr="007C5EBB">
        <w:rPr>
          <w:rFonts w:ascii="Times New Roman" w:hAnsi="Times New Roman" w:cs="Times New Roman"/>
          <w:sz w:val="20"/>
          <w:szCs w:val="20"/>
        </w:rPr>
        <w:t>:</w:t>
      </w:r>
    </w:p>
    <w:p w14:paraId="6BFD58D4" w14:textId="55C494CE" w:rsidR="0038525A" w:rsidRPr="007C5EBB" w:rsidRDefault="00625E6C"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S</w:t>
      </w:r>
      <w:r w:rsidR="0038525A" w:rsidRPr="007C5EBB">
        <w:rPr>
          <w:rFonts w:ascii="Times New Roman" w:hAnsi="Times New Roman" w:cs="Times New Roman"/>
          <w:sz w:val="20"/>
          <w:szCs w:val="20"/>
        </w:rPr>
        <w:t>ound teeth (teeth without decay, restoration or sealants)</w:t>
      </w:r>
    </w:p>
    <w:p w14:paraId="71459D85" w14:textId="0A4F3251" w:rsidR="0038525A" w:rsidRPr="007C5EBB" w:rsidRDefault="00625E6C"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O</w:t>
      </w:r>
      <w:r w:rsidR="0038525A" w:rsidRPr="007C5EBB">
        <w:rPr>
          <w:rFonts w:ascii="Times New Roman" w:hAnsi="Times New Roman" w:cs="Times New Roman"/>
          <w:sz w:val="20"/>
          <w:szCs w:val="20"/>
        </w:rPr>
        <w:t>bvious signs of decay</w:t>
      </w:r>
    </w:p>
    <w:p w14:paraId="16B8F5B9" w14:textId="23F7B493" w:rsidR="0038525A" w:rsidRPr="007C5EBB" w:rsidRDefault="00625E6C"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R</w:t>
      </w:r>
      <w:r w:rsidR="0038525A" w:rsidRPr="007C5EBB">
        <w:rPr>
          <w:rFonts w:ascii="Times New Roman" w:hAnsi="Times New Roman" w:cs="Times New Roman"/>
          <w:sz w:val="20"/>
          <w:szCs w:val="20"/>
        </w:rPr>
        <w:t>estored teeth, indicating previous caries experience</w:t>
      </w:r>
    </w:p>
    <w:p w14:paraId="50B77E2B" w14:textId="2DAD02B4" w:rsidR="0038525A" w:rsidRPr="007C5EBB" w:rsidRDefault="00625E6C"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P</w:t>
      </w:r>
      <w:r w:rsidR="0038525A" w:rsidRPr="007C5EBB">
        <w:rPr>
          <w:rFonts w:ascii="Times New Roman" w:hAnsi="Times New Roman" w:cs="Times New Roman"/>
          <w:sz w:val="20"/>
          <w:szCs w:val="20"/>
        </w:rPr>
        <w:t xml:space="preserve">ain and swelling </w:t>
      </w:r>
    </w:p>
    <w:p w14:paraId="2A7007CC" w14:textId="77777777" w:rsidR="0038525A" w:rsidRPr="007C5EBB" w:rsidRDefault="0038525A" w:rsidP="0038525A">
      <w:pPr>
        <w:pStyle w:val="ListParagraph"/>
        <w:numPr>
          <w:ilvl w:val="0"/>
          <w:numId w:val="2"/>
        </w:numPr>
        <w:rPr>
          <w:rFonts w:ascii="Times New Roman" w:hAnsi="Times New Roman" w:cs="Times New Roman"/>
          <w:sz w:val="20"/>
          <w:szCs w:val="20"/>
        </w:rPr>
      </w:pPr>
      <w:r w:rsidRPr="007C5EBB">
        <w:rPr>
          <w:rFonts w:ascii="Times New Roman" w:hAnsi="Times New Roman" w:cs="Times New Roman"/>
          <w:sz w:val="20"/>
          <w:szCs w:val="20"/>
        </w:rPr>
        <w:t>Treatment urgency</w:t>
      </w:r>
    </w:p>
    <w:p w14:paraId="25A7CE21" w14:textId="5F61EF16" w:rsidR="00D17BE3" w:rsidRPr="00813B4B" w:rsidRDefault="0038525A" w:rsidP="004D59A5">
      <w:pPr>
        <w:rPr>
          <w:rFonts w:ascii="Times New Roman" w:hAnsi="Times New Roman" w:cs="Times New Roman"/>
          <w:sz w:val="20"/>
          <w:szCs w:val="20"/>
        </w:rPr>
      </w:pPr>
      <w:r w:rsidRPr="007C5EBB">
        <w:rPr>
          <w:rFonts w:ascii="Times New Roman" w:hAnsi="Times New Roman" w:cs="Times New Roman"/>
          <w:sz w:val="20"/>
          <w:szCs w:val="20"/>
        </w:rPr>
        <w:t>Information about examination results, plans for care, treatment completed and prevention activities are kept in a child’s health record</w:t>
      </w:r>
      <w:r w:rsidR="00371F46" w:rsidRPr="007C5EBB">
        <w:rPr>
          <w:rFonts w:ascii="Times New Roman" w:hAnsi="Times New Roman" w:cs="Times New Roman"/>
          <w:sz w:val="20"/>
          <w:szCs w:val="20"/>
        </w:rPr>
        <w:t xml:space="preserve"> (</w:t>
      </w:r>
      <w:r w:rsidR="001F075A" w:rsidRPr="007C5EBB">
        <w:rPr>
          <w:rFonts w:ascii="Times New Roman" w:hAnsi="Times New Roman" w:cs="Times New Roman"/>
          <w:sz w:val="20"/>
          <w:szCs w:val="20"/>
        </w:rPr>
        <w:t>Holt,</w:t>
      </w:r>
      <w:r w:rsidR="00371F46" w:rsidRPr="007C5EBB">
        <w:rPr>
          <w:rFonts w:ascii="Times New Roman" w:hAnsi="Times New Roman" w:cs="Times New Roman"/>
          <w:sz w:val="20"/>
          <w:szCs w:val="20"/>
        </w:rPr>
        <w:t xml:space="preserve"> 2011)</w:t>
      </w:r>
      <w:r w:rsidRPr="007C5EBB">
        <w:rPr>
          <w:rFonts w:ascii="Times New Roman" w:hAnsi="Times New Roman" w:cs="Times New Roman"/>
          <w:sz w:val="20"/>
          <w:szCs w:val="20"/>
        </w:rPr>
        <w:t xml:space="preserve">. This program also promotes good dental hygiene in the classroom (i.e. brushing after meals). Each day, staff wipes the infants’ gums and assists children in </w:t>
      </w:r>
      <w:r w:rsidRPr="007C5EBB">
        <w:rPr>
          <w:rFonts w:ascii="Times New Roman" w:hAnsi="Times New Roman" w:cs="Times New Roman"/>
          <w:sz w:val="20"/>
          <w:szCs w:val="20"/>
        </w:rPr>
        <w:lastRenderedPageBreak/>
        <w:t xml:space="preserve">brushing their teeth with fluoridated toothpaste, which occurs in conjunction with </w:t>
      </w:r>
      <w:r w:rsidR="00625E6C" w:rsidRPr="007C5EBB">
        <w:rPr>
          <w:rFonts w:ascii="Times New Roman" w:hAnsi="Times New Roman" w:cs="Times New Roman"/>
          <w:sz w:val="20"/>
          <w:szCs w:val="20"/>
        </w:rPr>
        <w:t xml:space="preserve">provision of </w:t>
      </w:r>
      <w:r w:rsidRPr="007C5EBB">
        <w:rPr>
          <w:rFonts w:ascii="Times New Roman" w:hAnsi="Times New Roman" w:cs="Times New Roman"/>
          <w:sz w:val="20"/>
          <w:szCs w:val="20"/>
        </w:rPr>
        <w:t>nutritious meals and snacks</w:t>
      </w:r>
      <w:r w:rsidR="006C1041" w:rsidRPr="007C5EBB">
        <w:rPr>
          <w:rFonts w:ascii="Times New Roman" w:hAnsi="Times New Roman" w:cs="Times New Roman"/>
          <w:sz w:val="20"/>
          <w:szCs w:val="20"/>
        </w:rPr>
        <w:t xml:space="preserve"> (</w:t>
      </w:r>
      <w:r w:rsidR="00530A95" w:rsidRPr="007C5EBB">
        <w:rPr>
          <w:rFonts w:ascii="Times New Roman" w:eastAsia="Times New Roman" w:hAnsi="Times New Roman" w:cs="Times New Roman"/>
          <w:color w:val="333333"/>
          <w:sz w:val="20"/>
          <w:szCs w:val="20"/>
          <w:shd w:val="clear" w:color="auto" w:fill="FFFFFF"/>
        </w:rPr>
        <w:t>National Center on Early Childhood Health and Wellness</w:t>
      </w:r>
      <w:r w:rsidR="006C1041" w:rsidRPr="007C5EBB">
        <w:rPr>
          <w:rFonts w:ascii="Times New Roman" w:eastAsia="Times New Roman" w:hAnsi="Times New Roman" w:cs="Times New Roman"/>
          <w:color w:val="333333"/>
          <w:sz w:val="20"/>
          <w:szCs w:val="20"/>
          <w:shd w:val="clear" w:color="auto" w:fill="FFFFFF"/>
        </w:rPr>
        <w:t>, 201</w:t>
      </w:r>
      <w:r w:rsidR="00530A95" w:rsidRPr="007C5EBB">
        <w:rPr>
          <w:rFonts w:ascii="Times New Roman" w:eastAsia="Times New Roman" w:hAnsi="Times New Roman" w:cs="Times New Roman"/>
          <w:color w:val="333333"/>
          <w:sz w:val="20"/>
          <w:szCs w:val="20"/>
          <w:shd w:val="clear" w:color="auto" w:fill="FFFFFF"/>
        </w:rPr>
        <w:t>5</w:t>
      </w:r>
      <w:r w:rsidR="006C1041" w:rsidRPr="007C5EBB">
        <w:rPr>
          <w:rFonts w:ascii="Times New Roman" w:eastAsia="Times New Roman" w:hAnsi="Times New Roman" w:cs="Times New Roman"/>
          <w:color w:val="333333"/>
          <w:sz w:val="20"/>
          <w:szCs w:val="20"/>
          <w:shd w:val="clear" w:color="auto" w:fill="FFFFFF"/>
        </w:rPr>
        <w:t>)</w:t>
      </w:r>
      <w:r w:rsidR="00625E6C" w:rsidRPr="007C5EBB">
        <w:rPr>
          <w:rFonts w:ascii="Times New Roman" w:hAnsi="Times New Roman" w:cs="Times New Roman"/>
          <w:sz w:val="20"/>
          <w:szCs w:val="20"/>
        </w:rPr>
        <w:t>.</w:t>
      </w:r>
      <w:r w:rsidR="00FA3D87" w:rsidRPr="007C5EBB">
        <w:rPr>
          <w:rFonts w:ascii="Times New Roman" w:hAnsi="Times New Roman" w:cs="Times New Roman"/>
          <w:sz w:val="20"/>
          <w:szCs w:val="20"/>
        </w:rPr>
        <w:t xml:space="preserve"> The Head Start staff</w:t>
      </w:r>
      <w:r w:rsidR="00625E6C" w:rsidRPr="007C5EBB">
        <w:rPr>
          <w:rFonts w:ascii="Times New Roman" w:hAnsi="Times New Roman" w:cs="Times New Roman"/>
          <w:sz w:val="20"/>
          <w:szCs w:val="20"/>
        </w:rPr>
        <w:t xml:space="preserve"> know</w:t>
      </w:r>
      <w:r w:rsidR="00FA3D87" w:rsidRPr="007C5EBB">
        <w:rPr>
          <w:rFonts w:ascii="Times New Roman" w:hAnsi="Times New Roman" w:cs="Times New Roman"/>
          <w:sz w:val="20"/>
          <w:szCs w:val="20"/>
        </w:rPr>
        <w:t>s</w:t>
      </w:r>
      <w:r w:rsidRPr="007C5EBB">
        <w:rPr>
          <w:rFonts w:ascii="Times New Roman" w:hAnsi="Times New Roman" w:cs="Times New Roman"/>
          <w:sz w:val="20"/>
          <w:szCs w:val="20"/>
        </w:rPr>
        <w:t xml:space="preserve"> that the parents / caregivers are a key component to the child’s health and developmental needs. The staff help</w:t>
      </w:r>
      <w:r w:rsidR="003831D9" w:rsidRPr="007C5EBB">
        <w:rPr>
          <w:rFonts w:ascii="Times New Roman" w:hAnsi="Times New Roman" w:cs="Times New Roman"/>
          <w:sz w:val="20"/>
          <w:szCs w:val="20"/>
        </w:rPr>
        <w:t>s</w:t>
      </w:r>
      <w:r w:rsidR="00625E6C" w:rsidRPr="007C5EBB">
        <w:rPr>
          <w:rFonts w:ascii="Times New Roman" w:hAnsi="Times New Roman" w:cs="Times New Roman"/>
          <w:sz w:val="20"/>
          <w:szCs w:val="20"/>
        </w:rPr>
        <w:t xml:space="preserve"> </w:t>
      </w:r>
      <w:r w:rsidRPr="007C5EBB">
        <w:rPr>
          <w:rFonts w:ascii="Times New Roman" w:hAnsi="Times New Roman" w:cs="Times New Roman"/>
          <w:sz w:val="20"/>
          <w:szCs w:val="20"/>
        </w:rPr>
        <w:t>parents / caregivers to understand the benefits of prevention and proper health care, along with the importance of establishing a dental home early in life</w:t>
      </w:r>
      <w:r w:rsidR="00550CA8" w:rsidRPr="007C5EBB">
        <w:rPr>
          <w:rFonts w:ascii="Times New Roman" w:hAnsi="Times New Roman" w:cs="Times New Roman"/>
          <w:sz w:val="20"/>
          <w:szCs w:val="20"/>
        </w:rPr>
        <w:t>.</w:t>
      </w:r>
    </w:p>
    <w:p w14:paraId="6F61692B" w14:textId="297601E2" w:rsidR="002513F9" w:rsidRPr="007C5EBB" w:rsidRDefault="00813B4B" w:rsidP="00813B4B">
      <w:pPr>
        <w:rPr>
          <w:rFonts w:ascii="Times New Roman" w:hAnsi="Times New Roman" w:cs="Times New Roman"/>
          <w:sz w:val="20"/>
          <w:szCs w:val="20"/>
        </w:rPr>
      </w:pPr>
      <w:r>
        <w:rPr>
          <w:rFonts w:ascii="Times New Roman" w:hAnsi="Times New Roman" w:cs="Times New Roman"/>
          <w:sz w:val="20"/>
          <w:szCs w:val="20"/>
        </w:rPr>
        <w:t xml:space="preserve">        </w:t>
      </w:r>
      <w:r w:rsidR="00D17BE3" w:rsidRPr="007C5EBB">
        <w:rPr>
          <w:rFonts w:ascii="Times New Roman" w:hAnsi="Times New Roman" w:cs="Times New Roman"/>
          <w:sz w:val="20"/>
          <w:szCs w:val="20"/>
        </w:rPr>
        <w:t xml:space="preserve">This research study </w:t>
      </w:r>
      <w:r w:rsidR="0038525A" w:rsidRPr="007C5EBB">
        <w:rPr>
          <w:rFonts w:ascii="Times New Roman" w:hAnsi="Times New Roman" w:cs="Times New Roman"/>
          <w:sz w:val="20"/>
          <w:szCs w:val="20"/>
        </w:rPr>
        <w:t>included</w:t>
      </w:r>
      <w:r w:rsidR="002C330B" w:rsidRPr="007C5EBB">
        <w:rPr>
          <w:rFonts w:ascii="Times New Roman" w:hAnsi="Times New Roman" w:cs="Times New Roman"/>
          <w:sz w:val="20"/>
          <w:szCs w:val="20"/>
        </w:rPr>
        <w:t xml:space="preserve"> a convenience sample of</w:t>
      </w:r>
      <w:r w:rsidR="0038525A" w:rsidRPr="007C5EBB">
        <w:rPr>
          <w:rFonts w:ascii="Times New Roman" w:hAnsi="Times New Roman" w:cs="Times New Roman"/>
          <w:sz w:val="20"/>
          <w:szCs w:val="20"/>
        </w:rPr>
        <w:t xml:space="preserve"> </w:t>
      </w:r>
      <w:r w:rsidR="00D17BE3" w:rsidRPr="007C5EBB">
        <w:rPr>
          <w:rFonts w:ascii="Times New Roman" w:hAnsi="Times New Roman" w:cs="Times New Roman"/>
          <w:sz w:val="20"/>
          <w:szCs w:val="20"/>
        </w:rPr>
        <w:t>two cohorts</w:t>
      </w:r>
      <w:r w:rsidR="004A63DC" w:rsidRPr="007C5EBB">
        <w:rPr>
          <w:rFonts w:ascii="Times New Roman" w:hAnsi="Times New Roman" w:cs="Times New Roman"/>
          <w:sz w:val="20"/>
          <w:szCs w:val="20"/>
        </w:rPr>
        <w:t xml:space="preserve"> </w:t>
      </w:r>
      <w:r w:rsidR="00625E6C" w:rsidRPr="007C5EBB">
        <w:rPr>
          <w:rFonts w:ascii="Times New Roman" w:hAnsi="Times New Roman" w:cs="Times New Roman"/>
          <w:sz w:val="20"/>
          <w:szCs w:val="20"/>
        </w:rPr>
        <w:t xml:space="preserve">of subject volunteers </w:t>
      </w:r>
      <w:r w:rsidR="002C330B" w:rsidRPr="007C5EBB">
        <w:rPr>
          <w:rFonts w:ascii="Times New Roman" w:hAnsi="Times New Roman" w:cs="Times New Roman"/>
          <w:sz w:val="20"/>
          <w:szCs w:val="20"/>
        </w:rPr>
        <w:t xml:space="preserve">who </w:t>
      </w:r>
      <w:r w:rsidR="00625E6C" w:rsidRPr="007C5EBB">
        <w:rPr>
          <w:rFonts w:ascii="Times New Roman" w:hAnsi="Times New Roman" w:cs="Times New Roman"/>
          <w:sz w:val="20"/>
          <w:szCs w:val="20"/>
        </w:rPr>
        <w:t xml:space="preserve">participated in the University of Nevada, Las Vegas School of Dental Medicine/Seal Nevada South (UNLV SDM SNS) </w:t>
      </w:r>
      <w:r w:rsidR="00C36D2F" w:rsidRPr="007C5EBB">
        <w:rPr>
          <w:rFonts w:ascii="Times New Roman" w:hAnsi="Times New Roman" w:cs="Times New Roman"/>
          <w:sz w:val="20"/>
          <w:szCs w:val="20"/>
        </w:rPr>
        <w:t xml:space="preserve">Program </w:t>
      </w:r>
      <w:r w:rsidR="004A63DC" w:rsidRPr="007C5EBB">
        <w:rPr>
          <w:rFonts w:ascii="Times New Roman" w:hAnsi="Times New Roman" w:cs="Times New Roman"/>
          <w:sz w:val="20"/>
          <w:szCs w:val="20"/>
        </w:rPr>
        <w:t>representing both retrospective and prospective data.</w:t>
      </w:r>
      <w:r w:rsidR="00C36D2F" w:rsidRPr="007C5EBB">
        <w:rPr>
          <w:rFonts w:ascii="Times New Roman" w:hAnsi="Times New Roman" w:cs="Times New Roman"/>
          <w:sz w:val="20"/>
          <w:szCs w:val="20"/>
        </w:rPr>
        <w:t xml:space="preserve"> </w:t>
      </w:r>
      <w:r w:rsidR="00D17BE3" w:rsidRPr="007C5EBB">
        <w:rPr>
          <w:rFonts w:ascii="Times New Roman" w:hAnsi="Times New Roman" w:cs="Times New Roman"/>
          <w:sz w:val="20"/>
          <w:szCs w:val="20"/>
        </w:rPr>
        <w:t xml:space="preserve">Cohort I represented retrospective data taken from records of approximately 86 </w:t>
      </w:r>
      <w:r w:rsidR="002C330B" w:rsidRPr="007C5EBB">
        <w:rPr>
          <w:rFonts w:ascii="Times New Roman" w:hAnsi="Times New Roman" w:cs="Times New Roman"/>
          <w:sz w:val="20"/>
          <w:szCs w:val="20"/>
        </w:rPr>
        <w:t xml:space="preserve">de-identified </w:t>
      </w:r>
      <w:r w:rsidR="00D17BE3" w:rsidRPr="007C5EBB">
        <w:rPr>
          <w:rFonts w:ascii="Times New Roman" w:hAnsi="Times New Roman" w:cs="Times New Roman"/>
          <w:sz w:val="20"/>
          <w:szCs w:val="20"/>
        </w:rPr>
        <w:t xml:space="preserve">subjects </w:t>
      </w:r>
      <w:r w:rsidR="00625E6C" w:rsidRPr="007C5EBB">
        <w:rPr>
          <w:rFonts w:ascii="Times New Roman" w:hAnsi="Times New Roman" w:cs="Times New Roman"/>
          <w:sz w:val="20"/>
          <w:szCs w:val="20"/>
        </w:rPr>
        <w:t xml:space="preserve">who participated </w:t>
      </w:r>
      <w:r w:rsidR="00D17BE3" w:rsidRPr="007C5EBB">
        <w:rPr>
          <w:rFonts w:ascii="Times New Roman" w:hAnsi="Times New Roman" w:cs="Times New Roman"/>
          <w:sz w:val="20"/>
          <w:szCs w:val="20"/>
        </w:rPr>
        <w:t>from February 10, 2015 to June 24, 2015</w:t>
      </w:r>
      <w:r w:rsidR="004A63DC" w:rsidRPr="007C5EBB">
        <w:rPr>
          <w:rFonts w:ascii="Times New Roman" w:hAnsi="Times New Roman" w:cs="Times New Roman"/>
          <w:sz w:val="20"/>
          <w:szCs w:val="20"/>
        </w:rPr>
        <w:t>.</w:t>
      </w:r>
      <w:r w:rsidR="00D17BE3" w:rsidRPr="007C5EBB">
        <w:rPr>
          <w:rFonts w:ascii="Times New Roman" w:hAnsi="Times New Roman" w:cs="Times New Roman"/>
          <w:sz w:val="20"/>
          <w:szCs w:val="20"/>
        </w:rPr>
        <w:t xml:space="preserve"> Cohort II included prospective data from subjects </w:t>
      </w:r>
      <w:r w:rsidR="002C330B" w:rsidRPr="007C5EBB">
        <w:rPr>
          <w:rFonts w:ascii="Times New Roman" w:hAnsi="Times New Roman" w:cs="Times New Roman"/>
          <w:sz w:val="20"/>
          <w:szCs w:val="20"/>
        </w:rPr>
        <w:t xml:space="preserve">who participated and </w:t>
      </w:r>
      <w:r w:rsidR="00D17BE3" w:rsidRPr="007C5EBB">
        <w:rPr>
          <w:rFonts w:ascii="Times New Roman" w:hAnsi="Times New Roman" w:cs="Times New Roman"/>
          <w:sz w:val="20"/>
          <w:szCs w:val="20"/>
        </w:rPr>
        <w:t xml:space="preserve">consented from October 15, 2015 to May </w:t>
      </w:r>
      <w:r w:rsidR="008213BA" w:rsidRPr="007C5EBB">
        <w:rPr>
          <w:rFonts w:ascii="Times New Roman" w:hAnsi="Times New Roman" w:cs="Times New Roman"/>
          <w:sz w:val="20"/>
          <w:szCs w:val="20"/>
        </w:rPr>
        <w:t>26</w:t>
      </w:r>
      <w:r w:rsidR="00D17BE3" w:rsidRPr="007C5EBB">
        <w:rPr>
          <w:rFonts w:ascii="Times New Roman" w:hAnsi="Times New Roman" w:cs="Times New Roman"/>
          <w:sz w:val="20"/>
          <w:szCs w:val="20"/>
        </w:rPr>
        <w:t xml:space="preserve">, 2016. </w:t>
      </w:r>
      <w:r w:rsidR="002C330B" w:rsidRPr="007C5EBB">
        <w:rPr>
          <w:rFonts w:ascii="Times New Roman" w:hAnsi="Times New Roman" w:cs="Times New Roman"/>
          <w:sz w:val="20"/>
          <w:szCs w:val="20"/>
        </w:rPr>
        <w:t>This study was approved by the University of Nevada Las Vegas Institutional Review Board (Protocol #</w:t>
      </w:r>
      <w:r w:rsidR="002C330B" w:rsidRPr="007C5EBB">
        <w:rPr>
          <w:sz w:val="20"/>
          <w:szCs w:val="20"/>
        </w:rPr>
        <w:t>751838-1</w:t>
      </w:r>
      <w:r w:rsidR="002C330B" w:rsidRPr="007C5EBB">
        <w:rPr>
          <w:rFonts w:ascii="Times New Roman" w:hAnsi="Times New Roman" w:cs="Times New Roman"/>
          <w:sz w:val="20"/>
          <w:szCs w:val="20"/>
        </w:rPr>
        <w:t>).</w:t>
      </w:r>
    </w:p>
    <w:p w14:paraId="453464FE" w14:textId="77777777" w:rsidR="00940A7D" w:rsidRPr="007C5EBB" w:rsidRDefault="00940A7D" w:rsidP="00D17BE3">
      <w:pPr>
        <w:rPr>
          <w:rFonts w:ascii="Times New Roman" w:hAnsi="Times New Roman" w:cs="Times New Roman"/>
          <w:sz w:val="20"/>
          <w:szCs w:val="20"/>
        </w:rPr>
      </w:pPr>
    </w:p>
    <w:p w14:paraId="6AA85280" w14:textId="38CB7200" w:rsidR="00F75E68" w:rsidRPr="007C5EBB" w:rsidRDefault="002C330B" w:rsidP="004D59A5">
      <w:pPr>
        <w:rPr>
          <w:rFonts w:ascii="Times New Roman" w:hAnsi="Times New Roman" w:cs="Times New Roman"/>
          <w:sz w:val="20"/>
          <w:szCs w:val="20"/>
        </w:rPr>
      </w:pPr>
      <w:r w:rsidRPr="00813B4B">
        <w:rPr>
          <w:rFonts w:ascii="Times New Roman" w:hAnsi="Times New Roman" w:cs="Times New Roman"/>
          <w:b/>
          <w:i/>
          <w:sz w:val="20"/>
          <w:szCs w:val="20"/>
        </w:rPr>
        <w:t>Instrumentation</w:t>
      </w:r>
      <w:r w:rsidR="002513F9" w:rsidRPr="00813B4B">
        <w:rPr>
          <w:rFonts w:ascii="Times New Roman" w:hAnsi="Times New Roman" w:cs="Times New Roman"/>
          <w:b/>
          <w:i/>
          <w:sz w:val="20"/>
          <w:szCs w:val="20"/>
        </w:rPr>
        <w:t>:</w:t>
      </w:r>
      <w:r w:rsidR="002513F9" w:rsidRPr="007C5EBB">
        <w:rPr>
          <w:rFonts w:ascii="Times New Roman" w:hAnsi="Times New Roman" w:cs="Times New Roman"/>
          <w:sz w:val="20"/>
          <w:szCs w:val="20"/>
        </w:rPr>
        <w:br/>
      </w:r>
      <w:r w:rsidR="00552DDA">
        <w:rPr>
          <w:rFonts w:ascii="Times New Roman" w:hAnsi="Times New Roman" w:cs="Times New Roman"/>
          <w:sz w:val="20"/>
          <w:szCs w:val="20"/>
        </w:rPr>
        <w:t xml:space="preserve">        </w:t>
      </w:r>
      <w:r w:rsidR="004A63DC" w:rsidRPr="007C5EBB">
        <w:rPr>
          <w:rFonts w:ascii="Times New Roman" w:hAnsi="Times New Roman" w:cs="Times New Roman"/>
          <w:sz w:val="20"/>
          <w:szCs w:val="20"/>
        </w:rPr>
        <w:t>C</w:t>
      </w:r>
      <w:r w:rsidR="00D17BE3" w:rsidRPr="007C5EBB">
        <w:rPr>
          <w:rFonts w:ascii="Times New Roman" w:hAnsi="Times New Roman" w:cs="Times New Roman"/>
          <w:sz w:val="20"/>
          <w:szCs w:val="20"/>
        </w:rPr>
        <w:t>ross-sectional data from two points in time with the aforementioned cohorts</w:t>
      </w:r>
      <w:r w:rsidR="004A63DC" w:rsidRPr="007C5EBB">
        <w:rPr>
          <w:rFonts w:ascii="Times New Roman" w:hAnsi="Times New Roman" w:cs="Times New Roman"/>
          <w:sz w:val="20"/>
          <w:szCs w:val="20"/>
        </w:rPr>
        <w:t xml:space="preserve"> </w:t>
      </w:r>
      <w:r w:rsidRPr="007C5EBB">
        <w:rPr>
          <w:rFonts w:ascii="Times New Roman" w:hAnsi="Times New Roman" w:cs="Times New Roman"/>
          <w:sz w:val="20"/>
          <w:szCs w:val="20"/>
        </w:rPr>
        <w:t xml:space="preserve">(I and II) </w:t>
      </w:r>
      <w:r w:rsidR="004A63DC" w:rsidRPr="007C5EBB">
        <w:rPr>
          <w:rFonts w:ascii="Times New Roman" w:hAnsi="Times New Roman" w:cs="Times New Roman"/>
          <w:sz w:val="20"/>
          <w:szCs w:val="20"/>
        </w:rPr>
        <w:t>were documented for analysis</w:t>
      </w:r>
      <w:r w:rsidR="00D17BE3" w:rsidRPr="007C5EBB">
        <w:rPr>
          <w:rFonts w:ascii="Times New Roman" w:hAnsi="Times New Roman" w:cs="Times New Roman"/>
          <w:sz w:val="20"/>
          <w:szCs w:val="20"/>
        </w:rPr>
        <w:t>. Parents of children who were enrolled in schools receiving services from the UNLV SDM SNS Program and who consented to participate in this program were asked to complete</w:t>
      </w:r>
      <w:r w:rsidR="004A63DC" w:rsidRPr="007C5EBB">
        <w:rPr>
          <w:rFonts w:ascii="Times New Roman" w:hAnsi="Times New Roman" w:cs="Times New Roman"/>
          <w:sz w:val="20"/>
          <w:szCs w:val="20"/>
        </w:rPr>
        <w:t xml:space="preserve"> a</w:t>
      </w:r>
      <w:r w:rsidR="00D17BE3" w:rsidRPr="007C5EBB">
        <w:rPr>
          <w:rFonts w:ascii="Times New Roman" w:hAnsi="Times New Roman" w:cs="Times New Roman"/>
          <w:sz w:val="20"/>
          <w:szCs w:val="20"/>
        </w:rPr>
        <w:t xml:space="preserve"> medical history </w:t>
      </w:r>
      <w:r w:rsidR="004A63DC" w:rsidRPr="007C5EBB">
        <w:rPr>
          <w:rFonts w:ascii="Times New Roman" w:hAnsi="Times New Roman" w:cs="Times New Roman"/>
          <w:sz w:val="20"/>
          <w:szCs w:val="20"/>
        </w:rPr>
        <w:t xml:space="preserve">questionnaire </w:t>
      </w:r>
      <w:r w:rsidR="00D17BE3" w:rsidRPr="007C5EBB">
        <w:rPr>
          <w:rFonts w:ascii="Times New Roman" w:hAnsi="Times New Roman" w:cs="Times New Roman"/>
          <w:sz w:val="20"/>
          <w:szCs w:val="20"/>
        </w:rPr>
        <w:t xml:space="preserve">relating to participation in </w:t>
      </w:r>
      <w:r w:rsidRPr="007C5EBB">
        <w:rPr>
          <w:rFonts w:ascii="Times New Roman" w:hAnsi="Times New Roman" w:cs="Times New Roman"/>
          <w:sz w:val="20"/>
          <w:szCs w:val="20"/>
        </w:rPr>
        <w:t>WIC or Head Start and identified within specific</w:t>
      </w:r>
      <w:r w:rsidR="00124984" w:rsidRPr="007C5EBB">
        <w:rPr>
          <w:rFonts w:ascii="Times New Roman" w:hAnsi="Times New Roman" w:cs="Times New Roman"/>
          <w:sz w:val="20"/>
          <w:szCs w:val="20"/>
        </w:rPr>
        <w:t xml:space="preserve"> </w:t>
      </w:r>
      <w:r w:rsidR="004A63DC" w:rsidRPr="007C5EBB">
        <w:rPr>
          <w:rFonts w:ascii="Times New Roman" w:hAnsi="Times New Roman" w:cs="Times New Roman"/>
          <w:sz w:val="20"/>
          <w:szCs w:val="20"/>
        </w:rPr>
        <w:t>time</w:t>
      </w:r>
      <w:r w:rsidR="00D17BE3" w:rsidRPr="007C5EBB">
        <w:rPr>
          <w:rFonts w:ascii="Times New Roman" w:hAnsi="Times New Roman" w:cs="Times New Roman"/>
          <w:sz w:val="20"/>
          <w:szCs w:val="20"/>
        </w:rPr>
        <w:t xml:space="preserve"> intervals: Less than 12 months, 1-2 years, 2-3 years, or more than 3 years. </w:t>
      </w:r>
    </w:p>
    <w:p w14:paraId="5671DDF4" w14:textId="2F32FE9D" w:rsidR="004D59A5" w:rsidRPr="007C5EBB" w:rsidRDefault="00813B4B" w:rsidP="00813B4B">
      <w:pPr>
        <w:rPr>
          <w:sz w:val="20"/>
          <w:szCs w:val="20"/>
        </w:rPr>
      </w:pPr>
      <w:r>
        <w:rPr>
          <w:rFonts w:ascii="Times New Roman" w:hAnsi="Times New Roman" w:cs="Times New Roman"/>
          <w:sz w:val="20"/>
          <w:szCs w:val="20"/>
        </w:rPr>
        <w:t xml:space="preserve">        </w:t>
      </w:r>
      <w:r w:rsidR="00C36D2F" w:rsidRPr="007C5EBB">
        <w:rPr>
          <w:rFonts w:ascii="Times New Roman" w:hAnsi="Times New Roman" w:cs="Times New Roman"/>
          <w:sz w:val="20"/>
          <w:szCs w:val="20"/>
        </w:rPr>
        <w:t>SNS</w:t>
      </w:r>
      <w:r w:rsidR="004D59A5" w:rsidRPr="007C5EBB">
        <w:rPr>
          <w:rFonts w:ascii="Times New Roman" w:hAnsi="Times New Roman" w:cs="Times New Roman"/>
          <w:sz w:val="20"/>
          <w:szCs w:val="20"/>
        </w:rPr>
        <w:t xml:space="preserve"> offer</w:t>
      </w:r>
      <w:r w:rsidR="002C330B" w:rsidRPr="007C5EBB">
        <w:rPr>
          <w:rFonts w:ascii="Times New Roman" w:hAnsi="Times New Roman" w:cs="Times New Roman"/>
          <w:sz w:val="20"/>
          <w:szCs w:val="20"/>
        </w:rPr>
        <w:t>s</w:t>
      </w:r>
      <w:r w:rsidR="004D59A5" w:rsidRPr="007C5EBB">
        <w:rPr>
          <w:rFonts w:ascii="Times New Roman" w:hAnsi="Times New Roman" w:cs="Times New Roman"/>
          <w:sz w:val="20"/>
          <w:szCs w:val="20"/>
        </w:rPr>
        <w:t xml:space="preserve"> free preventive services to Title 1 elementary schools in the greater Las Vegas area with more than 50% enrollment in the Free and Reduced Lunch (FRL) Program. Histor</w:t>
      </w:r>
      <w:r w:rsidR="002C330B" w:rsidRPr="007C5EBB">
        <w:rPr>
          <w:rFonts w:ascii="Times New Roman" w:hAnsi="Times New Roman" w:cs="Times New Roman"/>
          <w:sz w:val="20"/>
          <w:szCs w:val="20"/>
        </w:rPr>
        <w:t>ically, FRL programs are available</w:t>
      </w:r>
      <w:r w:rsidR="004D59A5" w:rsidRPr="007C5EBB">
        <w:rPr>
          <w:rFonts w:ascii="Times New Roman" w:hAnsi="Times New Roman" w:cs="Times New Roman"/>
          <w:sz w:val="20"/>
          <w:szCs w:val="20"/>
        </w:rPr>
        <w:t xml:space="preserve"> in schools with underserved populations and schools with more than 50% enrollment have a greater distribution of minority populations. Every effort was made to recruit a representative distribution of gender, racial and et</w:t>
      </w:r>
      <w:r w:rsidR="00FA627F" w:rsidRPr="007C5EBB">
        <w:rPr>
          <w:rFonts w:ascii="Times New Roman" w:hAnsi="Times New Roman" w:cs="Times New Roman"/>
          <w:sz w:val="20"/>
          <w:szCs w:val="20"/>
        </w:rPr>
        <w:t>hnic</w:t>
      </w:r>
      <w:r w:rsidR="004D59A5" w:rsidRPr="007C5EBB">
        <w:rPr>
          <w:rFonts w:ascii="Times New Roman" w:hAnsi="Times New Roman" w:cs="Times New Roman"/>
          <w:sz w:val="20"/>
          <w:szCs w:val="20"/>
        </w:rPr>
        <w:t xml:space="preserve"> groups</w:t>
      </w:r>
      <w:r w:rsidR="002C330B" w:rsidRPr="007C5EBB">
        <w:rPr>
          <w:rFonts w:ascii="Times New Roman" w:hAnsi="Times New Roman" w:cs="Times New Roman"/>
          <w:sz w:val="20"/>
          <w:szCs w:val="20"/>
        </w:rPr>
        <w:t xml:space="preserve"> for inclusion in this study</w:t>
      </w:r>
      <w:r w:rsidR="004D59A5" w:rsidRPr="007C5EBB">
        <w:rPr>
          <w:rFonts w:ascii="Times New Roman" w:hAnsi="Times New Roman" w:cs="Times New Roman"/>
          <w:sz w:val="20"/>
          <w:szCs w:val="20"/>
        </w:rPr>
        <w:t>. Parents sign</w:t>
      </w:r>
      <w:r w:rsidR="004A63DC" w:rsidRPr="007C5EBB">
        <w:rPr>
          <w:rFonts w:ascii="Times New Roman" w:hAnsi="Times New Roman" w:cs="Times New Roman"/>
          <w:sz w:val="20"/>
          <w:szCs w:val="20"/>
        </w:rPr>
        <w:t>ed</w:t>
      </w:r>
      <w:r w:rsidR="004D59A5" w:rsidRPr="007C5EBB">
        <w:rPr>
          <w:rFonts w:ascii="Times New Roman" w:hAnsi="Times New Roman" w:cs="Times New Roman"/>
          <w:sz w:val="20"/>
          <w:szCs w:val="20"/>
        </w:rPr>
        <w:t xml:space="preserve"> informed consent for the child to receive the oral </w:t>
      </w:r>
      <w:r w:rsidR="00D17BE3" w:rsidRPr="007C5EBB">
        <w:rPr>
          <w:rFonts w:ascii="Times New Roman" w:hAnsi="Times New Roman" w:cs="Times New Roman"/>
          <w:sz w:val="20"/>
          <w:szCs w:val="20"/>
        </w:rPr>
        <w:t xml:space="preserve">health </w:t>
      </w:r>
      <w:r w:rsidR="004D59A5" w:rsidRPr="007C5EBB">
        <w:rPr>
          <w:rFonts w:ascii="Times New Roman" w:hAnsi="Times New Roman" w:cs="Times New Roman"/>
          <w:sz w:val="20"/>
          <w:szCs w:val="20"/>
        </w:rPr>
        <w:t xml:space="preserve">screening and preventive services. Children that </w:t>
      </w:r>
      <w:r w:rsidR="004A63DC" w:rsidRPr="007C5EBB">
        <w:rPr>
          <w:rFonts w:ascii="Times New Roman" w:hAnsi="Times New Roman" w:cs="Times New Roman"/>
          <w:sz w:val="20"/>
          <w:szCs w:val="20"/>
        </w:rPr>
        <w:t>were</w:t>
      </w:r>
      <w:r w:rsidR="004D59A5" w:rsidRPr="007C5EBB">
        <w:rPr>
          <w:rFonts w:ascii="Times New Roman" w:hAnsi="Times New Roman" w:cs="Times New Roman"/>
          <w:sz w:val="20"/>
          <w:szCs w:val="20"/>
        </w:rPr>
        <w:t xml:space="preserve"> uncooperative on the day of the </w:t>
      </w:r>
      <w:r w:rsidR="00FC612F" w:rsidRPr="007C5EBB">
        <w:rPr>
          <w:rFonts w:ascii="Times New Roman" w:hAnsi="Times New Roman" w:cs="Times New Roman"/>
          <w:sz w:val="20"/>
          <w:szCs w:val="20"/>
        </w:rPr>
        <w:t>visit</w:t>
      </w:r>
      <w:r w:rsidR="004D59A5" w:rsidRPr="007C5EBB">
        <w:rPr>
          <w:rFonts w:ascii="Times New Roman" w:hAnsi="Times New Roman" w:cs="Times New Roman"/>
          <w:sz w:val="20"/>
          <w:szCs w:val="20"/>
        </w:rPr>
        <w:t xml:space="preserve"> may not</w:t>
      </w:r>
      <w:r w:rsidR="004A63DC" w:rsidRPr="007C5EBB">
        <w:rPr>
          <w:rFonts w:ascii="Times New Roman" w:hAnsi="Times New Roman" w:cs="Times New Roman"/>
          <w:sz w:val="20"/>
          <w:szCs w:val="20"/>
        </w:rPr>
        <w:t xml:space="preserve"> have </w:t>
      </w:r>
      <w:r w:rsidR="004D59A5" w:rsidRPr="007C5EBB">
        <w:rPr>
          <w:rFonts w:ascii="Times New Roman" w:hAnsi="Times New Roman" w:cs="Times New Roman"/>
          <w:sz w:val="20"/>
          <w:szCs w:val="20"/>
        </w:rPr>
        <w:t>receive</w:t>
      </w:r>
      <w:r w:rsidR="004A63DC" w:rsidRPr="007C5EBB">
        <w:rPr>
          <w:rFonts w:ascii="Times New Roman" w:hAnsi="Times New Roman" w:cs="Times New Roman"/>
          <w:sz w:val="20"/>
          <w:szCs w:val="20"/>
        </w:rPr>
        <w:t>d</w:t>
      </w:r>
      <w:r w:rsidR="004D59A5" w:rsidRPr="007C5EBB">
        <w:rPr>
          <w:rFonts w:ascii="Times New Roman" w:hAnsi="Times New Roman" w:cs="Times New Roman"/>
          <w:sz w:val="20"/>
          <w:szCs w:val="20"/>
        </w:rPr>
        <w:t xml:space="preserve"> preventive services at the school and w</w:t>
      </w:r>
      <w:r w:rsidR="004A63DC" w:rsidRPr="007C5EBB">
        <w:rPr>
          <w:rFonts w:ascii="Times New Roman" w:hAnsi="Times New Roman" w:cs="Times New Roman"/>
          <w:sz w:val="20"/>
          <w:szCs w:val="20"/>
        </w:rPr>
        <w:t>ere</w:t>
      </w:r>
      <w:r w:rsidR="004D59A5" w:rsidRPr="007C5EBB">
        <w:rPr>
          <w:rFonts w:ascii="Times New Roman" w:hAnsi="Times New Roman" w:cs="Times New Roman"/>
          <w:sz w:val="20"/>
          <w:szCs w:val="20"/>
        </w:rPr>
        <w:t xml:space="preserve"> referred to </w:t>
      </w:r>
      <w:r w:rsidR="00D17BE3" w:rsidRPr="007C5EBB">
        <w:rPr>
          <w:rFonts w:ascii="Times New Roman" w:hAnsi="Times New Roman" w:cs="Times New Roman"/>
          <w:sz w:val="20"/>
          <w:szCs w:val="20"/>
        </w:rPr>
        <w:t xml:space="preserve">the </w:t>
      </w:r>
      <w:r w:rsidR="004D59A5" w:rsidRPr="007C5EBB">
        <w:rPr>
          <w:rFonts w:ascii="Times New Roman" w:hAnsi="Times New Roman" w:cs="Times New Roman"/>
          <w:sz w:val="20"/>
          <w:szCs w:val="20"/>
        </w:rPr>
        <w:t xml:space="preserve">UNLV SDM or a local dentist for treatment. </w:t>
      </w:r>
    </w:p>
    <w:p w14:paraId="15289D2C" w14:textId="6FE135C0" w:rsidR="004D59A5" w:rsidRPr="007C5EBB" w:rsidRDefault="00552DDA" w:rsidP="00552DDA">
      <w:pPr>
        <w:rPr>
          <w:rFonts w:ascii="Times New Roman" w:hAnsi="Times New Roman" w:cs="Times New Roman"/>
          <w:sz w:val="20"/>
          <w:szCs w:val="20"/>
        </w:rPr>
      </w:pPr>
      <w:r>
        <w:rPr>
          <w:rFonts w:ascii="Times New Roman" w:hAnsi="Times New Roman" w:cs="Times New Roman"/>
          <w:sz w:val="20"/>
          <w:szCs w:val="20"/>
        </w:rPr>
        <w:t xml:space="preserve">       </w:t>
      </w:r>
      <w:r w:rsidR="004A63DC" w:rsidRPr="007C5EBB">
        <w:rPr>
          <w:rFonts w:ascii="Times New Roman" w:hAnsi="Times New Roman" w:cs="Times New Roman"/>
          <w:sz w:val="20"/>
          <w:szCs w:val="20"/>
        </w:rPr>
        <w:t>Dental d</w:t>
      </w:r>
      <w:r w:rsidR="004D59A5" w:rsidRPr="007C5EBB">
        <w:rPr>
          <w:rFonts w:ascii="Times New Roman" w:hAnsi="Times New Roman" w:cs="Times New Roman"/>
          <w:sz w:val="20"/>
          <w:szCs w:val="20"/>
        </w:rPr>
        <w:t>ata utilized in the study w</w:t>
      </w:r>
      <w:r w:rsidR="004A63DC" w:rsidRPr="007C5EBB">
        <w:rPr>
          <w:rFonts w:ascii="Times New Roman" w:hAnsi="Times New Roman" w:cs="Times New Roman"/>
          <w:sz w:val="20"/>
          <w:szCs w:val="20"/>
        </w:rPr>
        <w:t>ere</w:t>
      </w:r>
      <w:r w:rsidR="004D59A5" w:rsidRPr="007C5EBB">
        <w:rPr>
          <w:rFonts w:ascii="Times New Roman" w:hAnsi="Times New Roman" w:cs="Times New Roman"/>
          <w:sz w:val="20"/>
          <w:szCs w:val="20"/>
        </w:rPr>
        <w:t xml:space="preserve"> collected through oral </w:t>
      </w:r>
      <w:r w:rsidR="00D17BE3" w:rsidRPr="007C5EBB">
        <w:rPr>
          <w:rFonts w:ascii="Times New Roman" w:hAnsi="Times New Roman" w:cs="Times New Roman"/>
          <w:sz w:val="20"/>
          <w:szCs w:val="20"/>
        </w:rPr>
        <w:t xml:space="preserve">health </w:t>
      </w:r>
      <w:r w:rsidR="004D59A5" w:rsidRPr="007C5EBB">
        <w:rPr>
          <w:rFonts w:ascii="Times New Roman" w:hAnsi="Times New Roman" w:cs="Times New Roman"/>
          <w:sz w:val="20"/>
          <w:szCs w:val="20"/>
        </w:rPr>
        <w:t>screenings performed by SNS faculty (dentists and dental hygienists), dental hygiene students, UNLV pre</w:t>
      </w:r>
      <w:r w:rsidR="00FA627F" w:rsidRPr="007C5EBB">
        <w:rPr>
          <w:rFonts w:ascii="Times New Roman" w:hAnsi="Times New Roman" w:cs="Times New Roman"/>
          <w:sz w:val="20"/>
          <w:szCs w:val="20"/>
        </w:rPr>
        <w:t>-</w:t>
      </w:r>
      <w:r w:rsidR="004D59A5" w:rsidRPr="007C5EBB">
        <w:rPr>
          <w:rFonts w:ascii="Times New Roman" w:hAnsi="Times New Roman" w:cs="Times New Roman"/>
          <w:sz w:val="20"/>
          <w:szCs w:val="20"/>
        </w:rPr>
        <w:t xml:space="preserve">doctoral dental students </w:t>
      </w:r>
      <w:r w:rsidR="004D59A5" w:rsidRPr="007C5EBB">
        <w:rPr>
          <w:rFonts w:ascii="Times New Roman" w:hAnsi="Times New Roman" w:cs="Times New Roman"/>
          <w:sz w:val="20"/>
          <w:szCs w:val="20"/>
        </w:rPr>
        <w:lastRenderedPageBreak/>
        <w:t xml:space="preserve">and UNLV pediatric dental residents. </w:t>
      </w:r>
      <w:r w:rsidR="002C330B" w:rsidRPr="007C5EBB">
        <w:rPr>
          <w:rFonts w:ascii="Times New Roman" w:hAnsi="Times New Roman" w:cs="Times New Roman"/>
          <w:sz w:val="20"/>
          <w:szCs w:val="20"/>
        </w:rPr>
        <w:t>All SNS faculty were</w:t>
      </w:r>
      <w:r w:rsidR="00D760A6" w:rsidRPr="007C5EBB">
        <w:rPr>
          <w:rFonts w:ascii="Times New Roman" w:hAnsi="Times New Roman" w:cs="Times New Roman"/>
          <w:sz w:val="20"/>
          <w:szCs w:val="20"/>
        </w:rPr>
        <w:t xml:space="preserve"> calibrated</w:t>
      </w:r>
      <w:r w:rsidR="000035F9" w:rsidRPr="007C5EBB">
        <w:rPr>
          <w:rFonts w:ascii="Times New Roman" w:hAnsi="Times New Roman" w:cs="Times New Roman"/>
          <w:sz w:val="20"/>
          <w:szCs w:val="20"/>
        </w:rPr>
        <w:t xml:space="preserve"> (standardized to the screening process to achieve a precise measurement each time)</w:t>
      </w:r>
      <w:r w:rsidR="00FA627F" w:rsidRPr="007C5EBB">
        <w:rPr>
          <w:rFonts w:ascii="Times New Roman" w:hAnsi="Times New Roman" w:cs="Times New Roman"/>
          <w:sz w:val="20"/>
          <w:szCs w:val="20"/>
        </w:rPr>
        <w:t xml:space="preserve"> using a Basic Screening Survey (BSS) tool provided by the Association of State and Territorial Dental Directors (ASTDD) annually</w:t>
      </w:r>
      <w:r w:rsidR="00D760A6" w:rsidRPr="007C5EBB">
        <w:rPr>
          <w:rFonts w:ascii="Times New Roman" w:hAnsi="Times New Roman" w:cs="Times New Roman"/>
          <w:sz w:val="20"/>
          <w:szCs w:val="20"/>
        </w:rPr>
        <w:t xml:space="preserve">. </w:t>
      </w:r>
      <w:r w:rsidR="00D17BE3" w:rsidRPr="007C5EBB">
        <w:rPr>
          <w:rFonts w:ascii="Times New Roman" w:hAnsi="Times New Roman" w:cs="Times New Roman"/>
          <w:sz w:val="20"/>
          <w:szCs w:val="20"/>
        </w:rPr>
        <w:t>SNS faculty</w:t>
      </w:r>
      <w:r w:rsidR="002C330B" w:rsidRPr="007C5EBB">
        <w:rPr>
          <w:rFonts w:ascii="Times New Roman" w:hAnsi="Times New Roman" w:cs="Times New Roman"/>
          <w:sz w:val="20"/>
          <w:szCs w:val="20"/>
        </w:rPr>
        <w:t xml:space="preserve"> instructed and mentored</w:t>
      </w:r>
      <w:r w:rsidR="00D760A6" w:rsidRPr="007C5EBB">
        <w:rPr>
          <w:rFonts w:ascii="Times New Roman" w:hAnsi="Times New Roman" w:cs="Times New Roman"/>
          <w:sz w:val="20"/>
          <w:szCs w:val="20"/>
        </w:rPr>
        <w:t xml:space="preserve"> the students and residents to ensure consistency. The dental hygiene students watch</w:t>
      </w:r>
      <w:r w:rsidR="004A63DC" w:rsidRPr="007C5EBB">
        <w:rPr>
          <w:rFonts w:ascii="Times New Roman" w:hAnsi="Times New Roman" w:cs="Times New Roman"/>
          <w:sz w:val="20"/>
          <w:szCs w:val="20"/>
        </w:rPr>
        <w:t>ed</w:t>
      </w:r>
      <w:r w:rsidR="00D760A6" w:rsidRPr="007C5EBB">
        <w:rPr>
          <w:rFonts w:ascii="Times New Roman" w:hAnsi="Times New Roman" w:cs="Times New Roman"/>
          <w:sz w:val="20"/>
          <w:szCs w:val="20"/>
        </w:rPr>
        <w:t xml:space="preserve"> </w:t>
      </w:r>
      <w:r w:rsidR="004A63DC" w:rsidRPr="007C5EBB">
        <w:rPr>
          <w:rFonts w:ascii="Times New Roman" w:hAnsi="Times New Roman" w:cs="Times New Roman"/>
          <w:sz w:val="20"/>
          <w:szCs w:val="20"/>
        </w:rPr>
        <w:t>a</w:t>
      </w:r>
      <w:r w:rsidR="00D760A6" w:rsidRPr="007C5EBB">
        <w:rPr>
          <w:rFonts w:ascii="Times New Roman" w:hAnsi="Times New Roman" w:cs="Times New Roman"/>
          <w:sz w:val="20"/>
          <w:szCs w:val="20"/>
        </w:rPr>
        <w:t xml:space="preserve"> video as part of their assessment training at </w:t>
      </w:r>
      <w:r w:rsidR="00FA627F" w:rsidRPr="007C5EBB">
        <w:rPr>
          <w:rFonts w:ascii="Times New Roman" w:hAnsi="Times New Roman" w:cs="Times New Roman"/>
          <w:sz w:val="20"/>
          <w:szCs w:val="20"/>
        </w:rPr>
        <w:t>the College of Southern Nevada</w:t>
      </w:r>
      <w:r w:rsidR="00D760A6" w:rsidRPr="007C5EBB">
        <w:rPr>
          <w:rFonts w:ascii="Times New Roman" w:hAnsi="Times New Roman" w:cs="Times New Roman"/>
          <w:sz w:val="20"/>
          <w:szCs w:val="20"/>
        </w:rPr>
        <w:t xml:space="preserve">. </w:t>
      </w:r>
      <w:r w:rsidR="004D59A5" w:rsidRPr="007C5EBB">
        <w:rPr>
          <w:rFonts w:ascii="Times New Roman" w:hAnsi="Times New Roman" w:cs="Times New Roman"/>
          <w:sz w:val="20"/>
          <w:szCs w:val="20"/>
        </w:rPr>
        <w:t>SNS use</w:t>
      </w:r>
      <w:r w:rsidR="004A63DC" w:rsidRPr="007C5EBB">
        <w:rPr>
          <w:rFonts w:ascii="Times New Roman" w:hAnsi="Times New Roman" w:cs="Times New Roman"/>
          <w:sz w:val="20"/>
          <w:szCs w:val="20"/>
        </w:rPr>
        <w:t>d</w:t>
      </w:r>
      <w:r w:rsidR="004D59A5" w:rsidRPr="007C5EBB">
        <w:rPr>
          <w:rFonts w:ascii="Times New Roman" w:hAnsi="Times New Roman" w:cs="Times New Roman"/>
          <w:sz w:val="20"/>
          <w:szCs w:val="20"/>
        </w:rPr>
        <w:t xml:space="preserve"> the </w:t>
      </w:r>
      <w:r w:rsidR="00FA627F" w:rsidRPr="007C5EBB">
        <w:rPr>
          <w:rFonts w:ascii="Times New Roman" w:hAnsi="Times New Roman" w:cs="Times New Roman"/>
          <w:sz w:val="20"/>
          <w:szCs w:val="20"/>
        </w:rPr>
        <w:t>BSS</w:t>
      </w:r>
      <w:r w:rsidR="004D59A5" w:rsidRPr="007C5EBB">
        <w:rPr>
          <w:rFonts w:ascii="Times New Roman" w:hAnsi="Times New Roman" w:cs="Times New Roman"/>
          <w:sz w:val="20"/>
          <w:szCs w:val="20"/>
        </w:rPr>
        <w:t xml:space="preserve"> as a Best Practice approach for community needs assessments and public health surveillance.</w:t>
      </w:r>
      <w:r w:rsidR="00757ABB" w:rsidRPr="007C5EBB">
        <w:rPr>
          <w:rFonts w:ascii="Times New Roman" w:hAnsi="Times New Roman" w:cs="Times New Roman"/>
          <w:sz w:val="20"/>
          <w:szCs w:val="20"/>
        </w:rPr>
        <w:t xml:space="preserve"> The oral health screenings were based on visual assessment of the child’s teeth</w:t>
      </w:r>
      <w:r w:rsidR="00767755" w:rsidRPr="007C5EBB">
        <w:rPr>
          <w:rFonts w:ascii="Times New Roman" w:hAnsi="Times New Roman" w:cs="Times New Roman"/>
          <w:sz w:val="20"/>
          <w:szCs w:val="20"/>
        </w:rPr>
        <w:t>.</w:t>
      </w:r>
      <w:r w:rsidR="00757ABB" w:rsidRPr="007C5EBB">
        <w:rPr>
          <w:rFonts w:ascii="Times New Roman" w:hAnsi="Times New Roman" w:cs="Times New Roman"/>
          <w:sz w:val="20"/>
          <w:szCs w:val="20"/>
        </w:rPr>
        <w:t xml:space="preserve"> </w:t>
      </w:r>
      <w:r w:rsidR="004D59A5" w:rsidRPr="007C5EBB">
        <w:rPr>
          <w:rFonts w:ascii="Times New Roman" w:hAnsi="Times New Roman" w:cs="Times New Roman"/>
          <w:sz w:val="20"/>
          <w:szCs w:val="20"/>
        </w:rPr>
        <w:t>Data recorded for each consented child include</w:t>
      </w:r>
      <w:r w:rsidR="004A63DC" w:rsidRPr="007C5EBB">
        <w:rPr>
          <w:rFonts w:ascii="Times New Roman" w:hAnsi="Times New Roman" w:cs="Times New Roman"/>
          <w:sz w:val="20"/>
          <w:szCs w:val="20"/>
        </w:rPr>
        <w:t>d</w:t>
      </w:r>
      <w:r w:rsidR="004D59A5" w:rsidRPr="007C5EBB">
        <w:rPr>
          <w:rFonts w:ascii="Times New Roman" w:hAnsi="Times New Roman" w:cs="Times New Roman"/>
          <w:sz w:val="20"/>
          <w:szCs w:val="20"/>
        </w:rPr>
        <w:t xml:space="preserve"> </w:t>
      </w:r>
      <w:r w:rsidR="00757ABB" w:rsidRPr="007C5EBB">
        <w:rPr>
          <w:rFonts w:ascii="Times New Roman" w:hAnsi="Times New Roman" w:cs="Times New Roman"/>
          <w:sz w:val="20"/>
          <w:szCs w:val="20"/>
        </w:rPr>
        <w:t xml:space="preserve">weighted </w:t>
      </w:r>
      <w:r w:rsidR="002C330B" w:rsidRPr="007C5EBB">
        <w:rPr>
          <w:rFonts w:ascii="Times New Roman" w:hAnsi="Times New Roman" w:cs="Times New Roman"/>
          <w:sz w:val="20"/>
          <w:szCs w:val="20"/>
        </w:rPr>
        <w:t xml:space="preserve">categorical </w:t>
      </w:r>
      <w:r w:rsidR="00757ABB" w:rsidRPr="007C5EBB">
        <w:rPr>
          <w:rFonts w:ascii="Times New Roman" w:hAnsi="Times New Roman" w:cs="Times New Roman"/>
          <w:sz w:val="20"/>
          <w:szCs w:val="20"/>
        </w:rPr>
        <w:t xml:space="preserve">descriptions of </w:t>
      </w:r>
      <w:r w:rsidR="00757ABB" w:rsidRPr="007C5EBB">
        <w:rPr>
          <w:rFonts w:ascii="Times New Roman" w:hAnsi="Times New Roman" w:cs="Times New Roman"/>
          <w:sz w:val="20"/>
          <w:szCs w:val="20"/>
        </w:rPr>
        <w:lastRenderedPageBreak/>
        <w:t xml:space="preserve">dental status as follows: </w:t>
      </w:r>
      <w:r w:rsidR="004D59A5" w:rsidRPr="007C5EBB">
        <w:rPr>
          <w:rFonts w:ascii="Times New Roman" w:hAnsi="Times New Roman" w:cs="Times New Roman"/>
          <w:sz w:val="20"/>
          <w:szCs w:val="20"/>
        </w:rPr>
        <w:t>untreated decay</w:t>
      </w:r>
      <w:r w:rsidR="00E45DE5" w:rsidRPr="007C5EBB">
        <w:rPr>
          <w:rFonts w:ascii="Times New Roman" w:hAnsi="Times New Roman" w:cs="Times New Roman"/>
          <w:sz w:val="20"/>
          <w:szCs w:val="20"/>
        </w:rPr>
        <w:t xml:space="preserve"> (having cavities)</w:t>
      </w:r>
      <w:r w:rsidR="004D59A5" w:rsidRPr="007C5EBB">
        <w:rPr>
          <w:rFonts w:ascii="Times New Roman" w:hAnsi="Times New Roman" w:cs="Times New Roman"/>
          <w:sz w:val="20"/>
          <w:szCs w:val="20"/>
        </w:rPr>
        <w:t>, caries experienc</w:t>
      </w:r>
      <w:r w:rsidR="00124984" w:rsidRPr="007C5EBB">
        <w:rPr>
          <w:rFonts w:ascii="Times New Roman" w:hAnsi="Times New Roman" w:cs="Times New Roman"/>
          <w:sz w:val="20"/>
          <w:szCs w:val="20"/>
        </w:rPr>
        <w:t>e (having cavities or fillings</w:t>
      </w:r>
      <w:r w:rsidR="004D59A5" w:rsidRPr="007C5EBB">
        <w:rPr>
          <w:rFonts w:ascii="Times New Roman" w:hAnsi="Times New Roman" w:cs="Times New Roman"/>
          <w:sz w:val="20"/>
          <w:szCs w:val="20"/>
        </w:rPr>
        <w:t>), presence of se</w:t>
      </w:r>
      <w:r w:rsidR="00757ABB" w:rsidRPr="007C5EBB">
        <w:rPr>
          <w:rFonts w:ascii="Times New Roman" w:hAnsi="Times New Roman" w:cs="Times New Roman"/>
          <w:sz w:val="20"/>
          <w:szCs w:val="20"/>
        </w:rPr>
        <w:t xml:space="preserve">alants, and treatment urgency </w:t>
      </w:r>
      <w:r w:rsidR="002E2738" w:rsidRPr="007C5EBB">
        <w:rPr>
          <w:rFonts w:ascii="Times New Roman" w:hAnsi="Times New Roman" w:cs="Times New Roman"/>
          <w:sz w:val="20"/>
          <w:szCs w:val="20"/>
        </w:rPr>
        <w:t>(</w:t>
      </w:r>
      <w:r w:rsidR="002513F9" w:rsidRPr="007C5EBB">
        <w:rPr>
          <w:rFonts w:ascii="Times New Roman" w:hAnsi="Times New Roman" w:cs="Times New Roman"/>
          <w:sz w:val="20"/>
          <w:szCs w:val="20"/>
        </w:rPr>
        <w:t>Table 1)</w:t>
      </w:r>
      <w:r w:rsidR="002E2738" w:rsidRPr="007C5EBB">
        <w:rPr>
          <w:rFonts w:ascii="Times New Roman" w:hAnsi="Times New Roman" w:cs="Times New Roman"/>
          <w:sz w:val="20"/>
          <w:szCs w:val="20"/>
        </w:rPr>
        <w:t>.</w:t>
      </w:r>
      <w:r w:rsidR="00C36D2F" w:rsidRPr="007C5EBB">
        <w:rPr>
          <w:rFonts w:ascii="Times New Roman" w:hAnsi="Times New Roman" w:cs="Times New Roman"/>
          <w:sz w:val="20"/>
          <w:szCs w:val="20"/>
        </w:rPr>
        <w:t xml:space="preserve">  No obvious problem was defined as a child that presented with</w:t>
      </w:r>
      <w:r w:rsidR="00410A16" w:rsidRPr="007C5EBB">
        <w:rPr>
          <w:rFonts w:ascii="Times New Roman" w:hAnsi="Times New Roman" w:cs="Times New Roman"/>
          <w:sz w:val="20"/>
          <w:szCs w:val="20"/>
        </w:rPr>
        <w:t>out</w:t>
      </w:r>
      <w:r w:rsidR="00C36D2F" w:rsidRPr="007C5EBB">
        <w:rPr>
          <w:rFonts w:ascii="Times New Roman" w:hAnsi="Times New Roman" w:cs="Times New Roman"/>
          <w:sz w:val="20"/>
          <w:szCs w:val="20"/>
        </w:rPr>
        <w:t xml:space="preserve"> evidence of untreated decay/cavities. Early dental care was defined as a child that presented with untreated decay and was in need of follow-up care </w:t>
      </w:r>
      <w:r w:rsidR="00494B00" w:rsidRPr="007C5EBB">
        <w:rPr>
          <w:sz w:val="20"/>
          <w:szCs w:val="20"/>
        </w:rPr>
        <w:t>within the next several weeks or before their next regularly scheduled dental appointment</w:t>
      </w:r>
      <w:r w:rsidR="000B1668" w:rsidRPr="007C5EBB">
        <w:rPr>
          <w:sz w:val="20"/>
          <w:szCs w:val="20"/>
        </w:rPr>
        <w:t xml:space="preserve">. </w:t>
      </w:r>
      <w:r w:rsidR="00C36D2F" w:rsidRPr="007C5EBB">
        <w:rPr>
          <w:rFonts w:ascii="Times New Roman" w:hAnsi="Times New Roman" w:cs="Times New Roman"/>
          <w:sz w:val="20"/>
          <w:szCs w:val="20"/>
        </w:rPr>
        <w:t xml:space="preserve">Urgent care was defined as a child that presented with pain, infection or swelling and was in need of follow-up care </w:t>
      </w:r>
      <w:r w:rsidR="00494B00" w:rsidRPr="007C5EBB">
        <w:rPr>
          <w:rFonts w:ascii="Times New Roman" w:hAnsi="Times New Roman" w:cs="Times New Roman"/>
          <w:sz w:val="20"/>
          <w:szCs w:val="20"/>
        </w:rPr>
        <w:t>between 24 and 48 hours.</w:t>
      </w:r>
    </w:p>
    <w:p w14:paraId="4D061D4C" w14:textId="77777777" w:rsidR="007C5EBB" w:rsidRPr="007C5EBB" w:rsidRDefault="007C5EBB" w:rsidP="00B30C45">
      <w:pPr>
        <w:rPr>
          <w:rFonts w:ascii="Times New Roman" w:hAnsi="Times New Roman" w:cs="Times New Roman"/>
          <w:b/>
          <w:sz w:val="20"/>
          <w:szCs w:val="20"/>
        </w:rPr>
        <w:sectPr w:rsidR="007C5EBB" w:rsidRPr="007C5EBB" w:rsidSect="007C5EBB">
          <w:type w:val="continuous"/>
          <w:pgSz w:w="12240" w:h="15840"/>
          <w:pgMar w:top="1440" w:right="1440" w:bottom="1440" w:left="1440" w:header="720" w:footer="720" w:gutter="0"/>
          <w:cols w:num="2" w:space="720"/>
          <w:docGrid w:linePitch="360"/>
        </w:sectPr>
      </w:pPr>
    </w:p>
    <w:p w14:paraId="1BB6E201" w14:textId="46768CD8" w:rsidR="00DD343F" w:rsidRPr="007C5EBB" w:rsidRDefault="00DD343F" w:rsidP="00B30C45">
      <w:pPr>
        <w:rPr>
          <w:rFonts w:ascii="Times New Roman" w:hAnsi="Times New Roman" w:cs="Times New Roman"/>
          <w:b/>
          <w:sz w:val="20"/>
          <w:szCs w:val="20"/>
        </w:rPr>
      </w:pPr>
    </w:p>
    <w:p w14:paraId="210C059D" w14:textId="2744778E" w:rsidR="002E2738" w:rsidRPr="007C5EBB" w:rsidRDefault="002E2738" w:rsidP="00B30C45">
      <w:pPr>
        <w:rPr>
          <w:rFonts w:ascii="Times New Roman" w:hAnsi="Times New Roman" w:cs="Times New Roman"/>
          <w:b/>
          <w:sz w:val="20"/>
          <w:szCs w:val="20"/>
        </w:rPr>
      </w:pPr>
      <w:r w:rsidRPr="007C5EBB">
        <w:rPr>
          <w:rFonts w:ascii="Times New Roman" w:hAnsi="Times New Roman" w:cs="Times New Roman"/>
          <w:b/>
          <w:sz w:val="20"/>
          <w:szCs w:val="20"/>
        </w:rPr>
        <w:t>Table 1 – Classification of Intraoral Findings in Visual Dental Assessment of Children</w:t>
      </w:r>
    </w:p>
    <w:tbl>
      <w:tblPr>
        <w:tblStyle w:val="TableGrid"/>
        <w:tblW w:w="0" w:type="auto"/>
        <w:tblLook w:val="04A0" w:firstRow="1" w:lastRow="0" w:firstColumn="1" w:lastColumn="0" w:noHBand="0" w:noVBand="1"/>
      </w:tblPr>
      <w:tblGrid>
        <w:gridCol w:w="2214"/>
        <w:gridCol w:w="2214"/>
        <w:gridCol w:w="2214"/>
        <w:gridCol w:w="2214"/>
      </w:tblGrid>
      <w:tr w:rsidR="004D59A5" w:rsidRPr="007C5EBB" w14:paraId="2D503F6D" w14:textId="77777777" w:rsidTr="00065AEF">
        <w:tc>
          <w:tcPr>
            <w:tcW w:w="2214" w:type="dxa"/>
          </w:tcPr>
          <w:p w14:paraId="0B3CD6F7"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Untreated Decay</w:t>
            </w:r>
          </w:p>
        </w:tc>
        <w:tc>
          <w:tcPr>
            <w:tcW w:w="2214" w:type="dxa"/>
          </w:tcPr>
          <w:p w14:paraId="380F6A0B"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Caries Experience</w:t>
            </w:r>
          </w:p>
        </w:tc>
        <w:tc>
          <w:tcPr>
            <w:tcW w:w="2214" w:type="dxa"/>
          </w:tcPr>
          <w:p w14:paraId="4263F732"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Sealants Present</w:t>
            </w:r>
          </w:p>
        </w:tc>
        <w:tc>
          <w:tcPr>
            <w:tcW w:w="2214" w:type="dxa"/>
          </w:tcPr>
          <w:p w14:paraId="100F12C8"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Treatment Urgency</w:t>
            </w:r>
          </w:p>
        </w:tc>
      </w:tr>
      <w:tr w:rsidR="004D59A5" w:rsidRPr="007C5EBB" w14:paraId="1DA754EC" w14:textId="77777777" w:rsidTr="00065AEF">
        <w:tc>
          <w:tcPr>
            <w:tcW w:w="2214" w:type="dxa"/>
          </w:tcPr>
          <w:p w14:paraId="7A9DF7FC"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0 – No untreated decay</w:t>
            </w:r>
          </w:p>
        </w:tc>
        <w:tc>
          <w:tcPr>
            <w:tcW w:w="2214" w:type="dxa"/>
          </w:tcPr>
          <w:p w14:paraId="193F7204"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0 – No caries experience</w:t>
            </w:r>
          </w:p>
        </w:tc>
        <w:tc>
          <w:tcPr>
            <w:tcW w:w="2214" w:type="dxa"/>
          </w:tcPr>
          <w:p w14:paraId="3205B37C"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0 – No sealants</w:t>
            </w:r>
          </w:p>
          <w:p w14:paraId="1FC36016" w14:textId="77777777" w:rsidR="004D59A5" w:rsidRPr="007C5EBB" w:rsidRDefault="004D59A5" w:rsidP="00B30C45">
            <w:pPr>
              <w:rPr>
                <w:rFonts w:ascii="Times New Roman" w:hAnsi="Times New Roman" w:cs="Times New Roman"/>
                <w:sz w:val="20"/>
                <w:szCs w:val="20"/>
              </w:rPr>
            </w:pPr>
          </w:p>
        </w:tc>
        <w:tc>
          <w:tcPr>
            <w:tcW w:w="2214" w:type="dxa"/>
          </w:tcPr>
          <w:p w14:paraId="2549DCC6" w14:textId="2464AD55" w:rsidR="004D59A5" w:rsidRPr="007C5EBB" w:rsidRDefault="004A4F18" w:rsidP="00B30C45">
            <w:pPr>
              <w:rPr>
                <w:rFonts w:ascii="Times New Roman" w:hAnsi="Times New Roman" w:cs="Times New Roman"/>
                <w:sz w:val="20"/>
                <w:szCs w:val="20"/>
              </w:rPr>
            </w:pPr>
            <w:r w:rsidRPr="007C5EBB">
              <w:rPr>
                <w:rFonts w:ascii="Times New Roman" w:hAnsi="Times New Roman" w:cs="Times New Roman"/>
                <w:sz w:val="20"/>
                <w:szCs w:val="20"/>
              </w:rPr>
              <w:t>0 – No obvious problem</w:t>
            </w:r>
          </w:p>
        </w:tc>
      </w:tr>
      <w:tr w:rsidR="004D59A5" w:rsidRPr="007C5EBB" w14:paraId="40085567" w14:textId="77777777" w:rsidTr="00065AEF">
        <w:tc>
          <w:tcPr>
            <w:tcW w:w="2214" w:type="dxa"/>
          </w:tcPr>
          <w:p w14:paraId="3771B608"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1 – Untreated decay</w:t>
            </w:r>
          </w:p>
        </w:tc>
        <w:tc>
          <w:tcPr>
            <w:tcW w:w="2214" w:type="dxa"/>
          </w:tcPr>
          <w:p w14:paraId="206111A6" w14:textId="6D381A0E"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1 – Caries experience</w:t>
            </w:r>
          </w:p>
        </w:tc>
        <w:tc>
          <w:tcPr>
            <w:tcW w:w="2214" w:type="dxa"/>
          </w:tcPr>
          <w:p w14:paraId="46EEBE62"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1 – Sealants present</w:t>
            </w:r>
          </w:p>
        </w:tc>
        <w:tc>
          <w:tcPr>
            <w:tcW w:w="2214" w:type="dxa"/>
          </w:tcPr>
          <w:p w14:paraId="500A8E77"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1 – Early dental care</w:t>
            </w:r>
          </w:p>
        </w:tc>
      </w:tr>
      <w:tr w:rsidR="004D59A5" w:rsidRPr="007C5EBB" w14:paraId="630E2F46" w14:textId="77777777" w:rsidTr="00065AEF">
        <w:tc>
          <w:tcPr>
            <w:tcW w:w="2214" w:type="dxa"/>
          </w:tcPr>
          <w:p w14:paraId="1AC13905" w14:textId="77777777" w:rsidR="004D59A5" w:rsidRPr="007C5EBB" w:rsidRDefault="004D59A5" w:rsidP="00B30C45">
            <w:pPr>
              <w:rPr>
                <w:rFonts w:ascii="Times New Roman" w:hAnsi="Times New Roman" w:cs="Times New Roman"/>
                <w:sz w:val="20"/>
                <w:szCs w:val="20"/>
              </w:rPr>
            </w:pPr>
          </w:p>
        </w:tc>
        <w:tc>
          <w:tcPr>
            <w:tcW w:w="2214" w:type="dxa"/>
          </w:tcPr>
          <w:p w14:paraId="01B53E2D" w14:textId="77777777" w:rsidR="004D59A5" w:rsidRPr="007C5EBB" w:rsidRDefault="004D59A5" w:rsidP="00B30C45">
            <w:pPr>
              <w:rPr>
                <w:rFonts w:ascii="Times New Roman" w:hAnsi="Times New Roman" w:cs="Times New Roman"/>
                <w:sz w:val="20"/>
                <w:szCs w:val="20"/>
              </w:rPr>
            </w:pPr>
          </w:p>
        </w:tc>
        <w:tc>
          <w:tcPr>
            <w:tcW w:w="2214" w:type="dxa"/>
          </w:tcPr>
          <w:p w14:paraId="211EF128" w14:textId="77777777" w:rsidR="004D59A5" w:rsidRPr="007C5EBB" w:rsidRDefault="004D59A5" w:rsidP="00B30C45">
            <w:pPr>
              <w:rPr>
                <w:rFonts w:ascii="Times New Roman" w:hAnsi="Times New Roman" w:cs="Times New Roman"/>
                <w:sz w:val="20"/>
                <w:szCs w:val="20"/>
              </w:rPr>
            </w:pPr>
          </w:p>
        </w:tc>
        <w:tc>
          <w:tcPr>
            <w:tcW w:w="2214" w:type="dxa"/>
          </w:tcPr>
          <w:p w14:paraId="3B1656D6" w14:textId="77777777" w:rsidR="004D59A5" w:rsidRPr="007C5EBB" w:rsidRDefault="004D59A5" w:rsidP="00B30C45">
            <w:pPr>
              <w:rPr>
                <w:rFonts w:ascii="Times New Roman" w:hAnsi="Times New Roman" w:cs="Times New Roman"/>
                <w:sz w:val="20"/>
                <w:szCs w:val="20"/>
              </w:rPr>
            </w:pPr>
            <w:r w:rsidRPr="007C5EBB">
              <w:rPr>
                <w:rFonts w:ascii="Times New Roman" w:hAnsi="Times New Roman" w:cs="Times New Roman"/>
                <w:sz w:val="20"/>
                <w:szCs w:val="20"/>
              </w:rPr>
              <w:t>2 – Urgent care</w:t>
            </w:r>
          </w:p>
        </w:tc>
      </w:tr>
    </w:tbl>
    <w:p w14:paraId="49F7B5B0" w14:textId="77777777" w:rsidR="00D257FB" w:rsidRPr="007C5EBB" w:rsidRDefault="00D257FB" w:rsidP="00767755">
      <w:pPr>
        <w:rPr>
          <w:rFonts w:ascii="Times New Roman" w:hAnsi="Times New Roman" w:cs="Times New Roman"/>
          <w:sz w:val="20"/>
          <w:szCs w:val="20"/>
        </w:rPr>
      </w:pPr>
    </w:p>
    <w:p w14:paraId="3C4559C2" w14:textId="77777777" w:rsidR="00565E9C" w:rsidRDefault="00565E9C" w:rsidP="004D59A5">
      <w:pPr>
        <w:rPr>
          <w:rFonts w:ascii="Times New Roman" w:hAnsi="Times New Roman" w:cs="Times New Roman"/>
          <w:b/>
          <w:sz w:val="20"/>
          <w:szCs w:val="20"/>
        </w:rPr>
        <w:sectPr w:rsidR="00565E9C" w:rsidSect="007C5EBB">
          <w:type w:val="continuous"/>
          <w:pgSz w:w="12240" w:h="15840"/>
          <w:pgMar w:top="1440" w:right="1440" w:bottom="1440" w:left="1440" w:header="720" w:footer="720" w:gutter="0"/>
          <w:cols w:space="720"/>
          <w:docGrid w:linePitch="360"/>
        </w:sectPr>
      </w:pPr>
    </w:p>
    <w:p w14:paraId="126742EC" w14:textId="1ACCC244" w:rsidR="004D59A5" w:rsidRDefault="00565E9C" w:rsidP="004D59A5">
      <w:pPr>
        <w:rPr>
          <w:rFonts w:ascii="Times New Roman" w:hAnsi="Times New Roman" w:cs="Times New Roman"/>
          <w:b/>
          <w:sz w:val="20"/>
          <w:szCs w:val="20"/>
        </w:rPr>
      </w:pPr>
      <w:r>
        <w:rPr>
          <w:rFonts w:ascii="Times New Roman" w:hAnsi="Times New Roman" w:cs="Times New Roman"/>
          <w:b/>
          <w:sz w:val="20"/>
          <w:szCs w:val="20"/>
        </w:rPr>
        <w:lastRenderedPageBreak/>
        <w:t>ANALYSIS</w:t>
      </w:r>
    </w:p>
    <w:p w14:paraId="35AC973B" w14:textId="77777777" w:rsidR="00565E9C" w:rsidRPr="007C5EBB" w:rsidRDefault="00565E9C" w:rsidP="004D59A5">
      <w:pPr>
        <w:rPr>
          <w:rFonts w:ascii="Times New Roman" w:hAnsi="Times New Roman" w:cs="Times New Roman"/>
          <w:b/>
          <w:sz w:val="20"/>
          <w:szCs w:val="20"/>
        </w:rPr>
      </w:pPr>
    </w:p>
    <w:p w14:paraId="5E92AC37" w14:textId="4D30408E" w:rsidR="00F345F7" w:rsidRDefault="00E57906" w:rsidP="00C36D2F">
      <w:pPr>
        <w:rPr>
          <w:rFonts w:ascii="Times New Roman" w:hAnsi="Times New Roman" w:cs="Times New Roman"/>
          <w:sz w:val="20"/>
          <w:szCs w:val="20"/>
        </w:rPr>
      </w:pPr>
      <w:r>
        <w:rPr>
          <w:rFonts w:ascii="Times New Roman" w:hAnsi="Times New Roman" w:cs="Times New Roman"/>
          <w:sz w:val="20"/>
          <w:szCs w:val="20"/>
        </w:rPr>
        <w:t xml:space="preserve">        </w:t>
      </w:r>
      <w:r w:rsidR="00757ABB" w:rsidRPr="007C5EBB">
        <w:rPr>
          <w:rFonts w:ascii="Times New Roman" w:hAnsi="Times New Roman" w:cs="Times New Roman"/>
          <w:sz w:val="20"/>
          <w:szCs w:val="20"/>
        </w:rPr>
        <w:t>C</w:t>
      </w:r>
      <w:r w:rsidR="004D59A5" w:rsidRPr="007C5EBB">
        <w:rPr>
          <w:rFonts w:ascii="Times New Roman" w:hAnsi="Times New Roman" w:cs="Times New Roman"/>
          <w:sz w:val="20"/>
          <w:szCs w:val="20"/>
        </w:rPr>
        <w:t xml:space="preserve">aries experience and </w:t>
      </w:r>
      <w:r w:rsidR="00757ABB" w:rsidRPr="007C5EBB">
        <w:rPr>
          <w:rFonts w:ascii="Times New Roman" w:hAnsi="Times New Roman" w:cs="Times New Roman"/>
          <w:sz w:val="20"/>
          <w:szCs w:val="20"/>
        </w:rPr>
        <w:t xml:space="preserve">evidence of </w:t>
      </w:r>
      <w:r w:rsidR="004D59A5" w:rsidRPr="007C5EBB">
        <w:rPr>
          <w:rFonts w:ascii="Times New Roman" w:hAnsi="Times New Roman" w:cs="Times New Roman"/>
          <w:sz w:val="20"/>
          <w:szCs w:val="20"/>
        </w:rPr>
        <w:t xml:space="preserve">untreated decay </w:t>
      </w:r>
      <w:r w:rsidR="00757ABB" w:rsidRPr="007C5EBB">
        <w:rPr>
          <w:rFonts w:ascii="Times New Roman" w:hAnsi="Times New Roman" w:cs="Times New Roman"/>
          <w:sz w:val="20"/>
          <w:szCs w:val="20"/>
        </w:rPr>
        <w:t xml:space="preserve">were compared </w:t>
      </w:r>
      <w:r w:rsidR="004D59A5" w:rsidRPr="007C5EBB">
        <w:rPr>
          <w:rFonts w:ascii="Times New Roman" w:hAnsi="Times New Roman" w:cs="Times New Roman"/>
          <w:sz w:val="20"/>
          <w:szCs w:val="20"/>
        </w:rPr>
        <w:t>between the children</w:t>
      </w:r>
      <w:r w:rsidR="00FA627F" w:rsidRPr="007C5EBB">
        <w:rPr>
          <w:rFonts w:ascii="Times New Roman" w:hAnsi="Times New Roman" w:cs="Times New Roman"/>
          <w:sz w:val="20"/>
          <w:szCs w:val="20"/>
        </w:rPr>
        <w:t xml:space="preserve"> of parents wh</w:t>
      </w:r>
      <w:r w:rsidR="00124984" w:rsidRPr="007C5EBB">
        <w:rPr>
          <w:rFonts w:ascii="Times New Roman" w:hAnsi="Times New Roman" w:cs="Times New Roman"/>
          <w:sz w:val="20"/>
          <w:szCs w:val="20"/>
        </w:rPr>
        <w:t>o reported participation in WIC or</w:t>
      </w:r>
      <w:r w:rsidR="00FA627F" w:rsidRPr="007C5EBB">
        <w:rPr>
          <w:rFonts w:ascii="Times New Roman" w:hAnsi="Times New Roman" w:cs="Times New Roman"/>
          <w:sz w:val="20"/>
          <w:szCs w:val="20"/>
        </w:rPr>
        <w:t xml:space="preserve"> Head Start and those that reported no participation in the</w:t>
      </w:r>
      <w:r w:rsidR="00757ABB" w:rsidRPr="007C5EBB">
        <w:rPr>
          <w:rFonts w:ascii="Times New Roman" w:hAnsi="Times New Roman" w:cs="Times New Roman"/>
          <w:sz w:val="20"/>
          <w:szCs w:val="20"/>
        </w:rPr>
        <w:t>se</w:t>
      </w:r>
      <w:r w:rsidR="00FA627F" w:rsidRPr="007C5EBB">
        <w:rPr>
          <w:rFonts w:ascii="Times New Roman" w:hAnsi="Times New Roman" w:cs="Times New Roman"/>
          <w:sz w:val="20"/>
          <w:szCs w:val="20"/>
        </w:rPr>
        <w:t xml:space="preserve"> programs.</w:t>
      </w:r>
      <w:r w:rsidR="004D59A5" w:rsidRPr="007C5EBB">
        <w:rPr>
          <w:rFonts w:ascii="Times New Roman" w:hAnsi="Times New Roman" w:cs="Times New Roman"/>
          <w:sz w:val="20"/>
          <w:szCs w:val="20"/>
        </w:rPr>
        <w:t xml:space="preserve"> </w:t>
      </w:r>
      <w:r w:rsidR="00757ABB" w:rsidRPr="007C5EBB">
        <w:rPr>
          <w:rFonts w:ascii="Times New Roman" w:hAnsi="Times New Roman" w:cs="Times New Roman"/>
          <w:sz w:val="20"/>
          <w:szCs w:val="20"/>
        </w:rPr>
        <w:t xml:space="preserve">Data from subjects included in Cohorts I and II were combined for data analysis purposes. </w:t>
      </w:r>
      <w:r w:rsidR="004D59A5" w:rsidRPr="007C5EBB">
        <w:rPr>
          <w:rFonts w:ascii="Times New Roman" w:hAnsi="Times New Roman" w:cs="Times New Roman"/>
          <w:sz w:val="20"/>
          <w:szCs w:val="20"/>
        </w:rPr>
        <w:t xml:space="preserve">Descriptive statistics </w:t>
      </w:r>
      <w:r w:rsidR="006C78FF" w:rsidRPr="007C5EBB">
        <w:rPr>
          <w:rFonts w:ascii="Times New Roman" w:hAnsi="Times New Roman" w:cs="Times New Roman"/>
          <w:sz w:val="20"/>
          <w:szCs w:val="20"/>
        </w:rPr>
        <w:t>w</w:t>
      </w:r>
      <w:r w:rsidR="002513F9" w:rsidRPr="007C5EBB">
        <w:rPr>
          <w:rFonts w:ascii="Times New Roman" w:hAnsi="Times New Roman" w:cs="Times New Roman"/>
          <w:sz w:val="20"/>
          <w:szCs w:val="20"/>
        </w:rPr>
        <w:t>ere</w:t>
      </w:r>
      <w:r w:rsidR="004D59A5" w:rsidRPr="007C5EBB">
        <w:rPr>
          <w:rFonts w:ascii="Times New Roman" w:hAnsi="Times New Roman" w:cs="Times New Roman"/>
          <w:sz w:val="20"/>
          <w:szCs w:val="20"/>
        </w:rPr>
        <w:t xml:space="preserve"> used to demonstrate </w:t>
      </w:r>
      <w:r w:rsidR="00C36D2F" w:rsidRPr="007C5EBB">
        <w:rPr>
          <w:rFonts w:ascii="Times New Roman" w:hAnsi="Times New Roman" w:cs="Times New Roman"/>
          <w:sz w:val="20"/>
          <w:szCs w:val="20"/>
        </w:rPr>
        <w:t>the</w:t>
      </w:r>
      <w:r w:rsidR="004D59A5" w:rsidRPr="007C5EBB">
        <w:rPr>
          <w:rFonts w:ascii="Times New Roman" w:hAnsi="Times New Roman" w:cs="Times New Roman"/>
          <w:sz w:val="20"/>
          <w:szCs w:val="20"/>
        </w:rPr>
        <w:t xml:space="preserve"> frequencies </w:t>
      </w:r>
      <w:r w:rsidR="004356D6" w:rsidRPr="007C5EBB">
        <w:rPr>
          <w:rFonts w:ascii="Times New Roman" w:hAnsi="Times New Roman" w:cs="Times New Roman"/>
          <w:sz w:val="20"/>
          <w:szCs w:val="20"/>
        </w:rPr>
        <w:t>[</w:t>
      </w:r>
      <w:r w:rsidR="004D59A5" w:rsidRPr="007C5EBB">
        <w:rPr>
          <w:rFonts w:ascii="Times New Roman" w:hAnsi="Times New Roman" w:cs="Times New Roman"/>
          <w:sz w:val="20"/>
          <w:szCs w:val="20"/>
        </w:rPr>
        <w:t>N-values and percentages</w:t>
      </w:r>
      <w:r w:rsidR="004356D6" w:rsidRPr="007C5EBB">
        <w:rPr>
          <w:rFonts w:ascii="Times New Roman" w:hAnsi="Times New Roman" w:cs="Times New Roman"/>
          <w:sz w:val="20"/>
          <w:szCs w:val="20"/>
        </w:rPr>
        <w:t>]</w:t>
      </w:r>
      <w:r w:rsidR="001C2FA3" w:rsidRPr="007C5EBB">
        <w:rPr>
          <w:rFonts w:ascii="Times New Roman" w:hAnsi="Times New Roman" w:cs="Times New Roman"/>
          <w:sz w:val="20"/>
          <w:szCs w:val="20"/>
        </w:rPr>
        <w:t xml:space="preserve"> </w:t>
      </w:r>
      <w:r w:rsidR="004D59A5" w:rsidRPr="007C5EBB">
        <w:rPr>
          <w:rFonts w:ascii="Times New Roman" w:hAnsi="Times New Roman" w:cs="Times New Roman"/>
          <w:sz w:val="20"/>
          <w:szCs w:val="20"/>
        </w:rPr>
        <w:t xml:space="preserve">of the results. </w:t>
      </w:r>
      <w:r w:rsidR="00FD2424" w:rsidRPr="007C5EBB">
        <w:rPr>
          <w:rFonts w:ascii="Times New Roman" w:hAnsi="Times New Roman" w:cs="Times New Roman"/>
          <w:sz w:val="20"/>
          <w:szCs w:val="20"/>
        </w:rPr>
        <w:t xml:space="preserve"> A Chi-Square test was conducted to determine any association between untreated decay and participation in WIC or Head Start. </w:t>
      </w:r>
      <w:r w:rsidR="00AD76AD" w:rsidRPr="007C5EBB">
        <w:rPr>
          <w:rFonts w:ascii="Times New Roman" w:hAnsi="Times New Roman" w:cs="Times New Roman"/>
          <w:sz w:val="20"/>
          <w:szCs w:val="20"/>
        </w:rPr>
        <w:tab/>
      </w:r>
    </w:p>
    <w:p w14:paraId="5F5693AA" w14:textId="77777777" w:rsidR="00565E9C" w:rsidRPr="007C5EBB" w:rsidRDefault="00565E9C" w:rsidP="00C36D2F">
      <w:pPr>
        <w:rPr>
          <w:rFonts w:ascii="Times New Roman" w:hAnsi="Times New Roman" w:cs="Times New Roman"/>
          <w:sz w:val="20"/>
          <w:szCs w:val="20"/>
        </w:rPr>
      </w:pPr>
    </w:p>
    <w:p w14:paraId="45B89C97" w14:textId="77777777" w:rsidR="00E57906" w:rsidRDefault="00E57906" w:rsidP="004D59A5">
      <w:pPr>
        <w:rPr>
          <w:rFonts w:ascii="Times New Roman" w:hAnsi="Times New Roman" w:cs="Times New Roman"/>
          <w:b/>
          <w:sz w:val="20"/>
          <w:szCs w:val="20"/>
        </w:rPr>
      </w:pPr>
    </w:p>
    <w:p w14:paraId="565C324F" w14:textId="77777777" w:rsidR="00E57906" w:rsidRDefault="00E57906" w:rsidP="004D59A5">
      <w:pPr>
        <w:rPr>
          <w:rFonts w:ascii="Times New Roman" w:hAnsi="Times New Roman" w:cs="Times New Roman"/>
          <w:b/>
          <w:sz w:val="20"/>
          <w:szCs w:val="20"/>
        </w:rPr>
      </w:pPr>
    </w:p>
    <w:p w14:paraId="2A02D84B" w14:textId="77777777" w:rsidR="00E57906" w:rsidRDefault="00E57906" w:rsidP="004D59A5">
      <w:pPr>
        <w:rPr>
          <w:rFonts w:ascii="Times New Roman" w:hAnsi="Times New Roman" w:cs="Times New Roman"/>
          <w:b/>
          <w:sz w:val="20"/>
          <w:szCs w:val="20"/>
        </w:rPr>
      </w:pPr>
    </w:p>
    <w:p w14:paraId="775B6166" w14:textId="16E80D65" w:rsidR="00345BE0" w:rsidRDefault="00565E9C" w:rsidP="004D59A5">
      <w:pPr>
        <w:rPr>
          <w:rFonts w:ascii="Times New Roman" w:hAnsi="Times New Roman" w:cs="Times New Roman"/>
          <w:b/>
          <w:sz w:val="20"/>
          <w:szCs w:val="20"/>
        </w:rPr>
      </w:pPr>
      <w:r w:rsidRPr="007C5EBB">
        <w:rPr>
          <w:rFonts w:ascii="Times New Roman" w:hAnsi="Times New Roman" w:cs="Times New Roman"/>
          <w:b/>
          <w:sz w:val="20"/>
          <w:szCs w:val="20"/>
        </w:rPr>
        <w:lastRenderedPageBreak/>
        <w:t xml:space="preserve">RESULTS: </w:t>
      </w:r>
    </w:p>
    <w:p w14:paraId="176BBA0A" w14:textId="77777777" w:rsidR="00565E9C" w:rsidRPr="007C5EBB" w:rsidRDefault="00565E9C" w:rsidP="004D59A5">
      <w:pPr>
        <w:rPr>
          <w:rFonts w:ascii="Times New Roman" w:hAnsi="Times New Roman" w:cs="Times New Roman"/>
          <w:b/>
          <w:sz w:val="20"/>
          <w:szCs w:val="20"/>
        </w:rPr>
      </w:pPr>
    </w:p>
    <w:p w14:paraId="308186E7" w14:textId="4F296DF0" w:rsidR="00345BE0" w:rsidRPr="007C5EBB" w:rsidRDefault="00E57906" w:rsidP="004D59A5">
      <w:pPr>
        <w:rPr>
          <w:rFonts w:ascii="Times New Roman" w:hAnsi="Times New Roman" w:cs="Times New Roman"/>
          <w:sz w:val="20"/>
          <w:szCs w:val="20"/>
        </w:rPr>
      </w:pPr>
      <w:r>
        <w:rPr>
          <w:rFonts w:ascii="Times New Roman" w:hAnsi="Times New Roman" w:cs="Times New Roman"/>
          <w:sz w:val="20"/>
          <w:szCs w:val="20"/>
        </w:rPr>
        <w:t xml:space="preserve">      </w:t>
      </w:r>
      <w:r w:rsidR="00653A52" w:rsidRPr="007C5EBB">
        <w:rPr>
          <w:rFonts w:ascii="Times New Roman" w:hAnsi="Times New Roman" w:cs="Times New Roman"/>
          <w:sz w:val="20"/>
          <w:szCs w:val="20"/>
        </w:rPr>
        <w:t xml:space="preserve">Of the 212 children participating in the study, a total of 122 were females (57.3%) and the average age was </w:t>
      </w:r>
      <w:r w:rsidR="00767755" w:rsidRPr="007C5EBB">
        <w:rPr>
          <w:rFonts w:ascii="Times New Roman" w:hAnsi="Times New Roman" w:cs="Times New Roman"/>
          <w:sz w:val="20"/>
          <w:szCs w:val="20"/>
        </w:rPr>
        <w:t xml:space="preserve">8 years old (45.1%)  </w:t>
      </w:r>
      <w:proofErr w:type="gramStart"/>
      <w:r w:rsidR="00767755" w:rsidRPr="007C5EBB">
        <w:rPr>
          <w:rFonts w:ascii="Times New Roman" w:hAnsi="Times New Roman" w:cs="Times New Roman"/>
          <w:sz w:val="20"/>
          <w:szCs w:val="20"/>
        </w:rPr>
        <w:t>[Table 2</w:t>
      </w:r>
      <w:r w:rsidR="000636AE" w:rsidRPr="007C5EBB">
        <w:rPr>
          <w:rFonts w:ascii="Times New Roman" w:hAnsi="Times New Roman" w:cs="Times New Roman"/>
          <w:sz w:val="20"/>
          <w:szCs w:val="20"/>
        </w:rPr>
        <w:t>]</w:t>
      </w:r>
      <w:r w:rsidR="00AB0FCE" w:rsidRPr="007C5EBB">
        <w:rPr>
          <w:rFonts w:ascii="Times New Roman" w:hAnsi="Times New Roman" w:cs="Times New Roman"/>
          <w:sz w:val="20"/>
          <w:szCs w:val="20"/>
        </w:rPr>
        <w:t>.</w:t>
      </w:r>
      <w:proofErr w:type="gramEnd"/>
      <w:r w:rsidR="00AB0FCE" w:rsidRPr="007C5EBB">
        <w:rPr>
          <w:rFonts w:ascii="Times New Roman" w:hAnsi="Times New Roman" w:cs="Times New Roman"/>
          <w:sz w:val="20"/>
          <w:szCs w:val="20"/>
        </w:rPr>
        <w:t xml:space="preserve"> </w:t>
      </w:r>
      <w:r w:rsidR="000636AE" w:rsidRPr="007C5EBB">
        <w:rPr>
          <w:rFonts w:ascii="Times New Roman" w:hAnsi="Times New Roman" w:cs="Times New Roman"/>
          <w:sz w:val="20"/>
          <w:szCs w:val="20"/>
        </w:rPr>
        <w:t xml:space="preserve"> A total of </w:t>
      </w:r>
      <w:r w:rsidR="00294602" w:rsidRPr="007C5EBB">
        <w:rPr>
          <w:rFonts w:ascii="Times New Roman" w:hAnsi="Times New Roman" w:cs="Times New Roman"/>
          <w:sz w:val="20"/>
          <w:szCs w:val="20"/>
        </w:rPr>
        <w:t xml:space="preserve">106 (49.8%) </w:t>
      </w:r>
      <w:r w:rsidR="000636AE" w:rsidRPr="007C5EBB">
        <w:rPr>
          <w:rFonts w:ascii="Times New Roman" w:hAnsi="Times New Roman" w:cs="Times New Roman"/>
          <w:sz w:val="20"/>
          <w:szCs w:val="20"/>
        </w:rPr>
        <w:t xml:space="preserve">parents </w:t>
      </w:r>
      <w:r w:rsidR="00345BE0" w:rsidRPr="007C5EBB">
        <w:rPr>
          <w:rFonts w:ascii="Times New Roman" w:hAnsi="Times New Roman" w:cs="Times New Roman"/>
          <w:sz w:val="20"/>
          <w:szCs w:val="20"/>
        </w:rPr>
        <w:t>ha</w:t>
      </w:r>
      <w:r w:rsidR="002513F9" w:rsidRPr="007C5EBB">
        <w:rPr>
          <w:rFonts w:ascii="Times New Roman" w:hAnsi="Times New Roman" w:cs="Times New Roman"/>
          <w:sz w:val="20"/>
          <w:szCs w:val="20"/>
        </w:rPr>
        <w:t>d</w:t>
      </w:r>
      <w:r w:rsidR="00345BE0" w:rsidRPr="007C5EBB">
        <w:rPr>
          <w:rFonts w:ascii="Times New Roman" w:hAnsi="Times New Roman" w:cs="Times New Roman"/>
          <w:sz w:val="20"/>
          <w:szCs w:val="20"/>
        </w:rPr>
        <w:t xml:space="preserve"> participat</w:t>
      </w:r>
      <w:r w:rsidR="00294602" w:rsidRPr="007C5EBB">
        <w:rPr>
          <w:rFonts w:ascii="Times New Roman" w:hAnsi="Times New Roman" w:cs="Times New Roman"/>
          <w:sz w:val="20"/>
          <w:szCs w:val="20"/>
        </w:rPr>
        <w:t>ed in WIC or Head Start while an equal number</w:t>
      </w:r>
      <w:r w:rsidR="00345BE0" w:rsidRPr="007C5EBB">
        <w:rPr>
          <w:rFonts w:ascii="Times New Roman" w:hAnsi="Times New Roman" w:cs="Times New Roman"/>
          <w:sz w:val="20"/>
          <w:szCs w:val="20"/>
        </w:rPr>
        <w:t xml:space="preserve"> ha</w:t>
      </w:r>
      <w:r w:rsidR="002513F9" w:rsidRPr="007C5EBB">
        <w:rPr>
          <w:rFonts w:ascii="Times New Roman" w:hAnsi="Times New Roman" w:cs="Times New Roman"/>
          <w:sz w:val="20"/>
          <w:szCs w:val="20"/>
        </w:rPr>
        <w:t xml:space="preserve">d </w:t>
      </w:r>
      <w:r w:rsidR="00345BE0" w:rsidRPr="007C5EBB">
        <w:rPr>
          <w:rFonts w:ascii="Times New Roman" w:hAnsi="Times New Roman" w:cs="Times New Roman"/>
          <w:sz w:val="20"/>
          <w:szCs w:val="20"/>
        </w:rPr>
        <w:t xml:space="preserve">not participated in either program. </w:t>
      </w:r>
    </w:p>
    <w:p w14:paraId="109C09CA" w14:textId="4B819832" w:rsidR="00E57906" w:rsidRPr="007C5EBB" w:rsidRDefault="00E57906" w:rsidP="00E57906">
      <w:pPr>
        <w:rPr>
          <w:rFonts w:ascii="Times New Roman" w:hAnsi="Times New Roman" w:cs="Times New Roman"/>
          <w:sz w:val="20"/>
          <w:szCs w:val="20"/>
        </w:rPr>
      </w:pPr>
      <w:r>
        <w:rPr>
          <w:rFonts w:ascii="Times New Roman" w:hAnsi="Times New Roman" w:cs="Times New Roman"/>
          <w:sz w:val="20"/>
          <w:szCs w:val="20"/>
        </w:rPr>
        <w:t xml:space="preserve">      </w:t>
      </w:r>
      <w:r w:rsidRPr="007C5EBB">
        <w:rPr>
          <w:rFonts w:ascii="Times New Roman" w:hAnsi="Times New Roman" w:cs="Times New Roman"/>
          <w:sz w:val="20"/>
          <w:szCs w:val="20"/>
        </w:rPr>
        <w:t>Table 3 below highlights the oral health status of the children participating in the study. The children had a high rate of untreated decay (N=123, 57.7%) and caries experience (N=152, 71.4%).  The majority of the children did not have any dental sealants on their first molars (N=153, 71.8%). A greater amount of children were documented as having early dental care needs (N=97, 45.5%) compared to urgent needs or no obvious problem.</w:t>
      </w:r>
    </w:p>
    <w:p w14:paraId="359E3219" w14:textId="77777777" w:rsidR="00E57906" w:rsidRDefault="00E57906" w:rsidP="004D59A5">
      <w:pPr>
        <w:rPr>
          <w:rFonts w:ascii="Times New Roman" w:hAnsi="Times New Roman" w:cs="Times New Roman"/>
          <w:b/>
          <w:sz w:val="20"/>
          <w:szCs w:val="20"/>
        </w:rPr>
        <w:sectPr w:rsidR="00E57906" w:rsidSect="00565E9C">
          <w:type w:val="continuous"/>
          <w:pgSz w:w="12240" w:h="15840"/>
          <w:pgMar w:top="1440" w:right="1440" w:bottom="1440" w:left="1440" w:header="720" w:footer="720" w:gutter="0"/>
          <w:cols w:num="2" w:space="720"/>
          <w:docGrid w:linePitch="360"/>
        </w:sectPr>
      </w:pPr>
    </w:p>
    <w:p w14:paraId="106E3FE6" w14:textId="4B914403" w:rsidR="00F30048" w:rsidRPr="007C5EBB" w:rsidRDefault="00F30048" w:rsidP="004D59A5">
      <w:pPr>
        <w:rPr>
          <w:rFonts w:ascii="Times New Roman" w:hAnsi="Times New Roman" w:cs="Times New Roman"/>
          <w:b/>
          <w:sz w:val="20"/>
          <w:szCs w:val="20"/>
        </w:rPr>
      </w:pPr>
    </w:p>
    <w:p w14:paraId="4B6D8680" w14:textId="32EECC02" w:rsidR="002448B3" w:rsidRPr="007C5EBB" w:rsidRDefault="002E2738" w:rsidP="00AC0E0F">
      <w:pPr>
        <w:rPr>
          <w:rFonts w:ascii="Times New Roman" w:hAnsi="Times New Roman" w:cs="Times New Roman"/>
          <w:b/>
          <w:sz w:val="20"/>
          <w:szCs w:val="20"/>
        </w:rPr>
      </w:pPr>
      <w:r w:rsidRPr="007C5EBB">
        <w:rPr>
          <w:rFonts w:ascii="Times New Roman" w:hAnsi="Times New Roman" w:cs="Times New Roman"/>
          <w:b/>
          <w:sz w:val="20"/>
          <w:szCs w:val="20"/>
        </w:rPr>
        <w:t>Table 2</w:t>
      </w:r>
      <w:r w:rsidR="002448B3" w:rsidRPr="007C5EBB">
        <w:rPr>
          <w:rFonts w:ascii="Times New Roman" w:hAnsi="Times New Roman" w:cs="Times New Roman"/>
          <w:b/>
          <w:sz w:val="20"/>
          <w:szCs w:val="20"/>
        </w:rPr>
        <w:t>: Demog</w:t>
      </w:r>
      <w:r w:rsidR="00294602" w:rsidRPr="007C5EBB">
        <w:rPr>
          <w:rFonts w:ascii="Times New Roman" w:hAnsi="Times New Roman" w:cs="Times New Roman"/>
          <w:b/>
          <w:sz w:val="20"/>
          <w:szCs w:val="20"/>
        </w:rPr>
        <w:t xml:space="preserve">raphic Characteristics of Children </w:t>
      </w:r>
      <w:r w:rsidR="002448B3" w:rsidRPr="007C5EBB">
        <w:rPr>
          <w:rFonts w:ascii="Times New Roman" w:hAnsi="Times New Roman" w:cs="Times New Roman"/>
          <w:b/>
          <w:sz w:val="20"/>
          <w:szCs w:val="20"/>
        </w:rPr>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448B3" w:rsidRPr="007C5EBB" w14:paraId="615E097D" w14:textId="77777777" w:rsidTr="00C25931">
        <w:tc>
          <w:tcPr>
            <w:tcW w:w="4788" w:type="dxa"/>
            <w:tcBorders>
              <w:top w:val="single" w:sz="4" w:space="0" w:color="auto"/>
              <w:bottom w:val="single" w:sz="4" w:space="0" w:color="auto"/>
            </w:tcBorders>
          </w:tcPr>
          <w:p w14:paraId="43CDABD9" w14:textId="654DD3A3" w:rsidR="002448B3" w:rsidRPr="007C5EBB" w:rsidRDefault="002448B3" w:rsidP="00AC0E0F">
            <w:pPr>
              <w:rPr>
                <w:rFonts w:ascii="Times New Roman" w:hAnsi="Times New Roman" w:cs="Times New Roman"/>
                <w:b/>
                <w:sz w:val="20"/>
                <w:szCs w:val="20"/>
              </w:rPr>
            </w:pPr>
          </w:p>
        </w:tc>
        <w:tc>
          <w:tcPr>
            <w:tcW w:w="4788" w:type="dxa"/>
            <w:tcBorders>
              <w:top w:val="single" w:sz="4" w:space="0" w:color="auto"/>
              <w:bottom w:val="single" w:sz="4" w:space="0" w:color="auto"/>
            </w:tcBorders>
          </w:tcPr>
          <w:p w14:paraId="44468B62" w14:textId="77777777" w:rsidR="002448B3" w:rsidRPr="007C5EBB" w:rsidRDefault="002448B3" w:rsidP="00AC0E0F">
            <w:pPr>
              <w:ind w:left="1440"/>
              <w:jc w:val="center"/>
              <w:rPr>
                <w:rFonts w:ascii="Times New Roman" w:hAnsi="Times New Roman" w:cs="Times New Roman"/>
                <w:b/>
                <w:sz w:val="20"/>
                <w:szCs w:val="20"/>
              </w:rPr>
            </w:pPr>
            <w:r w:rsidRPr="007C5EBB">
              <w:rPr>
                <w:rFonts w:ascii="Times New Roman" w:hAnsi="Times New Roman" w:cs="Times New Roman"/>
                <w:b/>
                <w:sz w:val="20"/>
                <w:szCs w:val="20"/>
              </w:rPr>
              <w:t>Total N (%)</w:t>
            </w:r>
          </w:p>
        </w:tc>
      </w:tr>
    </w:tbl>
    <w:p w14:paraId="51514C9F" w14:textId="5B28EAAC" w:rsidR="002448B3" w:rsidRPr="007C5EBB" w:rsidRDefault="00C25931" w:rsidP="00AC0E0F">
      <w:pPr>
        <w:rPr>
          <w:rFonts w:ascii="Times New Roman" w:hAnsi="Times New Roman" w:cs="Times New Roman"/>
          <w:b/>
          <w:sz w:val="20"/>
          <w:szCs w:val="20"/>
        </w:rPr>
      </w:pPr>
      <w:r w:rsidRPr="007C5EBB">
        <w:rPr>
          <w:rFonts w:ascii="Times New Roman" w:hAnsi="Times New Roman" w:cs="Times New Roman"/>
          <w:b/>
          <w:sz w:val="20"/>
          <w:szCs w:val="20"/>
        </w:rPr>
        <w:t>Age</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68"/>
        <w:gridCol w:w="720"/>
        <w:gridCol w:w="4068"/>
        <w:gridCol w:w="720"/>
      </w:tblGrid>
      <w:tr w:rsidR="00C25931" w:rsidRPr="007C5EBB" w14:paraId="242A4F53" w14:textId="77777777" w:rsidTr="004263BA">
        <w:trPr>
          <w:gridBefore w:val="1"/>
          <w:wBefore w:w="720" w:type="dxa"/>
        </w:trPr>
        <w:tc>
          <w:tcPr>
            <w:tcW w:w="4788" w:type="dxa"/>
            <w:gridSpan w:val="2"/>
          </w:tcPr>
          <w:p w14:paraId="1F0C9B7F" w14:textId="77777777" w:rsidR="00C25931" w:rsidRPr="007C5EBB" w:rsidRDefault="00C25931" w:rsidP="00AC0E0F">
            <w:pPr>
              <w:rPr>
                <w:rFonts w:ascii="Times New Roman" w:hAnsi="Times New Roman" w:cs="Times New Roman"/>
                <w:sz w:val="20"/>
                <w:szCs w:val="20"/>
              </w:rPr>
            </w:pPr>
          </w:p>
          <w:p w14:paraId="5F8AAA3C" w14:textId="77777777" w:rsidR="00C259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6</w:t>
            </w:r>
          </w:p>
        </w:tc>
        <w:tc>
          <w:tcPr>
            <w:tcW w:w="4788" w:type="dxa"/>
            <w:gridSpan w:val="2"/>
          </w:tcPr>
          <w:p w14:paraId="65B19AAF" w14:textId="77777777" w:rsidR="00C25931" w:rsidRPr="007C5EBB" w:rsidRDefault="00C25931" w:rsidP="00AC0E0F">
            <w:pPr>
              <w:jc w:val="center"/>
              <w:rPr>
                <w:rFonts w:ascii="Times New Roman" w:hAnsi="Times New Roman" w:cs="Times New Roman"/>
                <w:sz w:val="20"/>
                <w:szCs w:val="20"/>
              </w:rPr>
            </w:pPr>
          </w:p>
          <w:p w14:paraId="69881213" w14:textId="77777777" w:rsidR="00C259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3 (1.4)</w:t>
            </w:r>
          </w:p>
        </w:tc>
      </w:tr>
      <w:tr w:rsidR="00C25931" w:rsidRPr="007C5EBB" w14:paraId="34FC8D99" w14:textId="77777777" w:rsidTr="004263BA">
        <w:trPr>
          <w:gridBefore w:val="1"/>
          <w:wBefore w:w="720" w:type="dxa"/>
        </w:trPr>
        <w:tc>
          <w:tcPr>
            <w:tcW w:w="4788" w:type="dxa"/>
            <w:gridSpan w:val="2"/>
          </w:tcPr>
          <w:p w14:paraId="0631F6A0" w14:textId="77777777" w:rsidR="00C259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7</w:t>
            </w:r>
          </w:p>
        </w:tc>
        <w:tc>
          <w:tcPr>
            <w:tcW w:w="4788" w:type="dxa"/>
            <w:gridSpan w:val="2"/>
          </w:tcPr>
          <w:p w14:paraId="45CF18F0" w14:textId="77777777" w:rsidR="00C259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64 (30.0)</w:t>
            </w:r>
          </w:p>
        </w:tc>
      </w:tr>
      <w:tr w:rsidR="00C25931" w:rsidRPr="007C5EBB" w14:paraId="381D7D1B" w14:textId="77777777" w:rsidTr="004263BA">
        <w:trPr>
          <w:gridBefore w:val="1"/>
          <w:wBefore w:w="720" w:type="dxa"/>
        </w:trPr>
        <w:tc>
          <w:tcPr>
            <w:tcW w:w="4788" w:type="dxa"/>
            <w:gridSpan w:val="2"/>
          </w:tcPr>
          <w:p w14:paraId="57D0FB53" w14:textId="77777777" w:rsidR="00C259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8</w:t>
            </w:r>
          </w:p>
        </w:tc>
        <w:tc>
          <w:tcPr>
            <w:tcW w:w="4788" w:type="dxa"/>
            <w:gridSpan w:val="2"/>
          </w:tcPr>
          <w:p w14:paraId="074689B4" w14:textId="77777777" w:rsidR="00C259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96 (45.1)</w:t>
            </w:r>
          </w:p>
        </w:tc>
      </w:tr>
      <w:tr w:rsidR="00C25931" w:rsidRPr="007C5EBB" w14:paraId="2066E35A" w14:textId="77777777" w:rsidTr="004263BA">
        <w:trPr>
          <w:gridBefore w:val="1"/>
          <w:wBefore w:w="720" w:type="dxa"/>
        </w:trPr>
        <w:tc>
          <w:tcPr>
            <w:tcW w:w="4788" w:type="dxa"/>
            <w:gridSpan w:val="2"/>
          </w:tcPr>
          <w:p w14:paraId="5E554FEB" w14:textId="77777777" w:rsidR="00C259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9</w:t>
            </w:r>
          </w:p>
        </w:tc>
        <w:tc>
          <w:tcPr>
            <w:tcW w:w="4788" w:type="dxa"/>
            <w:gridSpan w:val="2"/>
          </w:tcPr>
          <w:p w14:paraId="09E7E5C8" w14:textId="77777777" w:rsidR="00C259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49 (23.0)</w:t>
            </w:r>
          </w:p>
        </w:tc>
      </w:tr>
      <w:tr w:rsidR="002448B3" w:rsidRPr="007C5EBB" w14:paraId="60199D3F" w14:textId="77777777" w:rsidTr="004263BA">
        <w:trPr>
          <w:gridAfter w:val="1"/>
          <w:wAfter w:w="720" w:type="dxa"/>
        </w:trPr>
        <w:tc>
          <w:tcPr>
            <w:tcW w:w="4788" w:type="dxa"/>
            <w:gridSpan w:val="2"/>
          </w:tcPr>
          <w:p w14:paraId="231A5427" w14:textId="77777777" w:rsidR="002448B3" w:rsidRPr="007C5EBB" w:rsidRDefault="002448B3" w:rsidP="00AC0E0F">
            <w:pPr>
              <w:rPr>
                <w:rFonts w:ascii="Times New Roman" w:hAnsi="Times New Roman" w:cs="Times New Roman"/>
                <w:b/>
                <w:sz w:val="20"/>
                <w:szCs w:val="20"/>
              </w:rPr>
            </w:pPr>
            <w:r w:rsidRPr="007C5EBB">
              <w:rPr>
                <w:rFonts w:ascii="Times New Roman" w:hAnsi="Times New Roman" w:cs="Times New Roman"/>
                <w:b/>
                <w:sz w:val="20"/>
                <w:szCs w:val="20"/>
              </w:rPr>
              <w:t>Gender</w:t>
            </w:r>
          </w:p>
        </w:tc>
        <w:tc>
          <w:tcPr>
            <w:tcW w:w="4788" w:type="dxa"/>
            <w:gridSpan w:val="2"/>
          </w:tcPr>
          <w:p w14:paraId="441B22FA" w14:textId="77777777" w:rsidR="002448B3" w:rsidRPr="007C5EBB" w:rsidRDefault="002448B3" w:rsidP="00AC0E0F">
            <w:pPr>
              <w:jc w:val="center"/>
              <w:rPr>
                <w:rFonts w:ascii="Times New Roman" w:hAnsi="Times New Roman" w:cs="Times New Roman"/>
                <w:sz w:val="20"/>
                <w:szCs w:val="20"/>
              </w:rPr>
            </w:pPr>
          </w:p>
        </w:tc>
      </w:tr>
      <w:tr w:rsidR="002448B3" w:rsidRPr="007C5EBB" w14:paraId="0AF0849C" w14:textId="77777777" w:rsidTr="004263BA">
        <w:trPr>
          <w:gridBefore w:val="1"/>
          <w:wBefore w:w="720" w:type="dxa"/>
        </w:trPr>
        <w:tc>
          <w:tcPr>
            <w:tcW w:w="4788" w:type="dxa"/>
            <w:gridSpan w:val="2"/>
          </w:tcPr>
          <w:p w14:paraId="51B25E37"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Female</w:t>
            </w:r>
          </w:p>
        </w:tc>
        <w:tc>
          <w:tcPr>
            <w:tcW w:w="4788" w:type="dxa"/>
            <w:gridSpan w:val="2"/>
          </w:tcPr>
          <w:p w14:paraId="42D54623" w14:textId="74D553C7" w:rsidR="002448B3"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122 (57.3</w:t>
            </w:r>
            <w:r w:rsidR="002448B3" w:rsidRPr="007C5EBB">
              <w:rPr>
                <w:rFonts w:ascii="Times New Roman" w:hAnsi="Times New Roman" w:cs="Times New Roman"/>
                <w:sz w:val="20"/>
                <w:szCs w:val="20"/>
              </w:rPr>
              <w:t>)</w:t>
            </w:r>
          </w:p>
        </w:tc>
      </w:tr>
      <w:tr w:rsidR="002448B3" w:rsidRPr="007C5EBB" w14:paraId="2F48A71A" w14:textId="77777777" w:rsidTr="004263BA">
        <w:trPr>
          <w:gridBefore w:val="1"/>
          <w:wBefore w:w="720" w:type="dxa"/>
        </w:trPr>
        <w:tc>
          <w:tcPr>
            <w:tcW w:w="4788" w:type="dxa"/>
            <w:gridSpan w:val="2"/>
          </w:tcPr>
          <w:p w14:paraId="481C0A9F"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 xml:space="preserve">Male </w:t>
            </w:r>
          </w:p>
        </w:tc>
        <w:tc>
          <w:tcPr>
            <w:tcW w:w="4788" w:type="dxa"/>
            <w:gridSpan w:val="2"/>
          </w:tcPr>
          <w:p w14:paraId="76D04735" w14:textId="2F61E1DC" w:rsidR="002448B3"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89 (41.8</w:t>
            </w:r>
            <w:r w:rsidR="002448B3" w:rsidRPr="007C5EBB">
              <w:rPr>
                <w:rFonts w:ascii="Times New Roman" w:hAnsi="Times New Roman" w:cs="Times New Roman"/>
                <w:sz w:val="20"/>
                <w:szCs w:val="20"/>
              </w:rPr>
              <w:t>)</w:t>
            </w:r>
          </w:p>
        </w:tc>
      </w:tr>
      <w:tr w:rsidR="002448B3" w:rsidRPr="007C5EBB" w14:paraId="3A4E0819" w14:textId="77777777" w:rsidTr="004263BA">
        <w:trPr>
          <w:gridAfter w:val="1"/>
          <w:wAfter w:w="720" w:type="dxa"/>
        </w:trPr>
        <w:tc>
          <w:tcPr>
            <w:tcW w:w="4788" w:type="dxa"/>
            <w:gridSpan w:val="2"/>
          </w:tcPr>
          <w:p w14:paraId="113F6B09" w14:textId="77777777" w:rsidR="002448B3" w:rsidRPr="007C5EBB" w:rsidRDefault="002448B3" w:rsidP="00AC0E0F">
            <w:pPr>
              <w:rPr>
                <w:rFonts w:ascii="Times New Roman" w:hAnsi="Times New Roman" w:cs="Times New Roman"/>
                <w:b/>
                <w:sz w:val="20"/>
                <w:szCs w:val="20"/>
              </w:rPr>
            </w:pPr>
            <w:r w:rsidRPr="007C5EBB">
              <w:rPr>
                <w:rFonts w:ascii="Times New Roman" w:hAnsi="Times New Roman" w:cs="Times New Roman"/>
                <w:b/>
                <w:sz w:val="20"/>
                <w:szCs w:val="20"/>
              </w:rPr>
              <w:t>Race/Ethnicity</w:t>
            </w:r>
          </w:p>
        </w:tc>
        <w:tc>
          <w:tcPr>
            <w:tcW w:w="4788" w:type="dxa"/>
            <w:gridSpan w:val="2"/>
          </w:tcPr>
          <w:p w14:paraId="48FA02E6" w14:textId="77777777" w:rsidR="002448B3" w:rsidRPr="007C5EBB" w:rsidRDefault="002448B3" w:rsidP="00AC0E0F">
            <w:pPr>
              <w:jc w:val="center"/>
              <w:rPr>
                <w:rFonts w:ascii="Times New Roman" w:hAnsi="Times New Roman" w:cs="Times New Roman"/>
                <w:sz w:val="20"/>
                <w:szCs w:val="20"/>
              </w:rPr>
            </w:pPr>
          </w:p>
        </w:tc>
      </w:tr>
      <w:tr w:rsidR="002448B3" w:rsidRPr="007C5EBB" w14:paraId="01BB93A8" w14:textId="77777777" w:rsidTr="004263BA">
        <w:trPr>
          <w:gridBefore w:val="1"/>
          <w:wBefore w:w="720" w:type="dxa"/>
        </w:trPr>
        <w:tc>
          <w:tcPr>
            <w:tcW w:w="4788" w:type="dxa"/>
            <w:gridSpan w:val="2"/>
          </w:tcPr>
          <w:p w14:paraId="5E99790D"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White</w:t>
            </w:r>
          </w:p>
        </w:tc>
        <w:tc>
          <w:tcPr>
            <w:tcW w:w="4788" w:type="dxa"/>
            <w:gridSpan w:val="2"/>
          </w:tcPr>
          <w:p w14:paraId="40C5DCFC" w14:textId="7BDC7A1B" w:rsidR="002448B3" w:rsidRPr="007C5EBB" w:rsidRDefault="000636AE" w:rsidP="00AC0E0F">
            <w:pPr>
              <w:jc w:val="center"/>
              <w:rPr>
                <w:rFonts w:ascii="Times New Roman" w:hAnsi="Times New Roman" w:cs="Times New Roman"/>
                <w:sz w:val="20"/>
                <w:szCs w:val="20"/>
              </w:rPr>
            </w:pPr>
            <w:r w:rsidRPr="007C5EBB">
              <w:rPr>
                <w:rFonts w:ascii="Times New Roman" w:hAnsi="Times New Roman" w:cs="Times New Roman"/>
                <w:sz w:val="20"/>
                <w:szCs w:val="20"/>
              </w:rPr>
              <w:t>16 (7.5</w:t>
            </w:r>
            <w:r w:rsidR="002448B3" w:rsidRPr="007C5EBB">
              <w:rPr>
                <w:rFonts w:ascii="Times New Roman" w:hAnsi="Times New Roman" w:cs="Times New Roman"/>
                <w:sz w:val="20"/>
                <w:szCs w:val="20"/>
              </w:rPr>
              <w:t>)</w:t>
            </w:r>
          </w:p>
        </w:tc>
      </w:tr>
      <w:tr w:rsidR="002448B3" w:rsidRPr="007C5EBB" w14:paraId="069C4552" w14:textId="77777777" w:rsidTr="004263BA">
        <w:trPr>
          <w:gridBefore w:val="1"/>
          <w:wBefore w:w="720" w:type="dxa"/>
        </w:trPr>
        <w:tc>
          <w:tcPr>
            <w:tcW w:w="4788" w:type="dxa"/>
            <w:gridSpan w:val="2"/>
          </w:tcPr>
          <w:p w14:paraId="141C3AEC"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Hispanic or Latino</w:t>
            </w:r>
          </w:p>
        </w:tc>
        <w:tc>
          <w:tcPr>
            <w:tcW w:w="4788" w:type="dxa"/>
            <w:gridSpan w:val="2"/>
          </w:tcPr>
          <w:p w14:paraId="1A0D2DA1" w14:textId="02F0DDB7" w:rsidR="002448B3" w:rsidRPr="007C5EBB" w:rsidRDefault="000636AE" w:rsidP="00AC0E0F">
            <w:pPr>
              <w:jc w:val="center"/>
              <w:rPr>
                <w:rFonts w:ascii="Times New Roman" w:hAnsi="Times New Roman" w:cs="Times New Roman"/>
                <w:sz w:val="20"/>
                <w:szCs w:val="20"/>
              </w:rPr>
            </w:pPr>
            <w:r w:rsidRPr="007C5EBB">
              <w:rPr>
                <w:rFonts w:ascii="Times New Roman" w:hAnsi="Times New Roman" w:cs="Times New Roman"/>
                <w:sz w:val="20"/>
                <w:szCs w:val="20"/>
              </w:rPr>
              <w:t>125 (</w:t>
            </w:r>
            <w:r w:rsidR="00B91FB5" w:rsidRPr="007C5EBB">
              <w:rPr>
                <w:rFonts w:ascii="Times New Roman" w:hAnsi="Times New Roman" w:cs="Times New Roman"/>
                <w:sz w:val="20"/>
                <w:szCs w:val="20"/>
              </w:rPr>
              <w:t>59.0</w:t>
            </w:r>
            <w:r w:rsidR="002448B3" w:rsidRPr="007C5EBB">
              <w:rPr>
                <w:rFonts w:ascii="Times New Roman" w:hAnsi="Times New Roman" w:cs="Times New Roman"/>
                <w:sz w:val="20"/>
                <w:szCs w:val="20"/>
              </w:rPr>
              <w:t>)</w:t>
            </w:r>
          </w:p>
        </w:tc>
      </w:tr>
      <w:tr w:rsidR="002448B3" w:rsidRPr="007C5EBB" w14:paraId="4DD1E653" w14:textId="77777777" w:rsidTr="004263BA">
        <w:trPr>
          <w:gridBefore w:val="1"/>
          <w:wBefore w:w="720" w:type="dxa"/>
        </w:trPr>
        <w:tc>
          <w:tcPr>
            <w:tcW w:w="4788" w:type="dxa"/>
            <w:gridSpan w:val="2"/>
          </w:tcPr>
          <w:p w14:paraId="341C075F"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Black/African American</w:t>
            </w:r>
          </w:p>
        </w:tc>
        <w:tc>
          <w:tcPr>
            <w:tcW w:w="4788" w:type="dxa"/>
            <w:gridSpan w:val="2"/>
          </w:tcPr>
          <w:p w14:paraId="3253A446" w14:textId="3C6D3EBE" w:rsidR="002448B3" w:rsidRPr="007C5EBB" w:rsidRDefault="000636AE" w:rsidP="00AC0E0F">
            <w:pPr>
              <w:jc w:val="center"/>
              <w:rPr>
                <w:rFonts w:ascii="Times New Roman" w:hAnsi="Times New Roman" w:cs="Times New Roman"/>
                <w:sz w:val="20"/>
                <w:szCs w:val="20"/>
              </w:rPr>
            </w:pPr>
            <w:r w:rsidRPr="007C5EBB">
              <w:rPr>
                <w:rFonts w:ascii="Times New Roman" w:hAnsi="Times New Roman" w:cs="Times New Roman"/>
                <w:sz w:val="20"/>
                <w:szCs w:val="20"/>
              </w:rPr>
              <w:t>27 (12.7</w:t>
            </w:r>
            <w:r w:rsidR="002448B3" w:rsidRPr="007C5EBB">
              <w:rPr>
                <w:rFonts w:ascii="Times New Roman" w:hAnsi="Times New Roman" w:cs="Times New Roman"/>
                <w:sz w:val="20"/>
                <w:szCs w:val="20"/>
              </w:rPr>
              <w:t>)</w:t>
            </w:r>
          </w:p>
        </w:tc>
      </w:tr>
      <w:tr w:rsidR="002448B3" w:rsidRPr="007C5EBB" w14:paraId="27470E91" w14:textId="77777777" w:rsidTr="004263BA">
        <w:trPr>
          <w:gridBefore w:val="1"/>
          <w:wBefore w:w="720" w:type="dxa"/>
        </w:trPr>
        <w:tc>
          <w:tcPr>
            <w:tcW w:w="4788" w:type="dxa"/>
            <w:gridSpan w:val="2"/>
          </w:tcPr>
          <w:p w14:paraId="087DD047"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lastRenderedPageBreak/>
              <w:t>American Indian/Alaska Native</w:t>
            </w:r>
          </w:p>
        </w:tc>
        <w:tc>
          <w:tcPr>
            <w:tcW w:w="4788" w:type="dxa"/>
            <w:gridSpan w:val="2"/>
          </w:tcPr>
          <w:p w14:paraId="5DABEA44" w14:textId="43DAAA2C" w:rsidR="002448B3" w:rsidRPr="007C5EBB" w:rsidRDefault="00D005D0" w:rsidP="00AC0E0F">
            <w:pPr>
              <w:jc w:val="center"/>
              <w:rPr>
                <w:rFonts w:ascii="Times New Roman" w:hAnsi="Times New Roman" w:cs="Times New Roman"/>
                <w:sz w:val="20"/>
                <w:szCs w:val="20"/>
              </w:rPr>
            </w:pPr>
            <w:r w:rsidRPr="007C5EBB">
              <w:rPr>
                <w:rFonts w:ascii="Times New Roman" w:hAnsi="Times New Roman" w:cs="Times New Roman"/>
                <w:sz w:val="20"/>
                <w:szCs w:val="20"/>
              </w:rPr>
              <w:t>1 (0.5)</w:t>
            </w:r>
          </w:p>
        </w:tc>
      </w:tr>
      <w:tr w:rsidR="002448B3" w:rsidRPr="007C5EBB" w14:paraId="4FFA87CA" w14:textId="77777777" w:rsidTr="004263BA">
        <w:trPr>
          <w:gridBefore w:val="1"/>
          <w:wBefore w:w="720" w:type="dxa"/>
        </w:trPr>
        <w:tc>
          <w:tcPr>
            <w:tcW w:w="4788" w:type="dxa"/>
            <w:gridSpan w:val="2"/>
          </w:tcPr>
          <w:p w14:paraId="6C069EAC"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Asian/Pacific Islander</w:t>
            </w:r>
          </w:p>
        </w:tc>
        <w:tc>
          <w:tcPr>
            <w:tcW w:w="4788" w:type="dxa"/>
            <w:gridSpan w:val="2"/>
          </w:tcPr>
          <w:p w14:paraId="5502300F" w14:textId="0D3B4052" w:rsidR="002448B3" w:rsidRPr="007C5EBB" w:rsidRDefault="00D005D0" w:rsidP="00AC0E0F">
            <w:pPr>
              <w:jc w:val="center"/>
              <w:rPr>
                <w:rFonts w:ascii="Times New Roman" w:hAnsi="Times New Roman" w:cs="Times New Roman"/>
                <w:sz w:val="20"/>
                <w:szCs w:val="20"/>
              </w:rPr>
            </w:pPr>
            <w:r w:rsidRPr="007C5EBB">
              <w:rPr>
                <w:rFonts w:ascii="Times New Roman" w:hAnsi="Times New Roman" w:cs="Times New Roman"/>
                <w:sz w:val="20"/>
                <w:szCs w:val="20"/>
              </w:rPr>
              <w:t>15 (7.1</w:t>
            </w:r>
            <w:r w:rsidR="002448B3" w:rsidRPr="007C5EBB">
              <w:rPr>
                <w:rFonts w:ascii="Times New Roman" w:hAnsi="Times New Roman" w:cs="Times New Roman"/>
                <w:sz w:val="20"/>
                <w:szCs w:val="20"/>
              </w:rPr>
              <w:t>)</w:t>
            </w:r>
          </w:p>
        </w:tc>
      </w:tr>
      <w:tr w:rsidR="002448B3" w:rsidRPr="007C5EBB" w14:paraId="7F5B75FD" w14:textId="77777777" w:rsidTr="004263BA">
        <w:trPr>
          <w:gridBefore w:val="1"/>
          <w:wBefore w:w="720" w:type="dxa"/>
        </w:trPr>
        <w:tc>
          <w:tcPr>
            <w:tcW w:w="4788" w:type="dxa"/>
            <w:gridSpan w:val="2"/>
          </w:tcPr>
          <w:p w14:paraId="1F6D7E8F"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Multicultural</w:t>
            </w:r>
          </w:p>
          <w:p w14:paraId="59383024" w14:textId="469CE4E1" w:rsidR="00D005D0" w:rsidRPr="007C5EBB" w:rsidRDefault="00D005D0" w:rsidP="00AC0E0F">
            <w:pPr>
              <w:rPr>
                <w:rFonts w:ascii="Times New Roman" w:hAnsi="Times New Roman" w:cs="Times New Roman"/>
                <w:sz w:val="20"/>
                <w:szCs w:val="20"/>
              </w:rPr>
            </w:pPr>
            <w:r w:rsidRPr="007C5EBB">
              <w:rPr>
                <w:rFonts w:ascii="Times New Roman" w:hAnsi="Times New Roman" w:cs="Times New Roman"/>
                <w:sz w:val="20"/>
                <w:szCs w:val="20"/>
              </w:rPr>
              <w:t>Other</w:t>
            </w:r>
          </w:p>
        </w:tc>
        <w:tc>
          <w:tcPr>
            <w:tcW w:w="4788" w:type="dxa"/>
            <w:gridSpan w:val="2"/>
          </w:tcPr>
          <w:p w14:paraId="6EF542C6" w14:textId="77777777" w:rsidR="00D005D0" w:rsidRPr="007C5EBB" w:rsidRDefault="00D005D0" w:rsidP="00AC0E0F">
            <w:pPr>
              <w:jc w:val="center"/>
              <w:rPr>
                <w:rFonts w:ascii="Times New Roman" w:hAnsi="Times New Roman" w:cs="Times New Roman"/>
                <w:sz w:val="20"/>
                <w:szCs w:val="20"/>
              </w:rPr>
            </w:pPr>
            <w:r w:rsidRPr="007C5EBB">
              <w:rPr>
                <w:rFonts w:ascii="Times New Roman" w:hAnsi="Times New Roman" w:cs="Times New Roman"/>
                <w:sz w:val="20"/>
                <w:szCs w:val="20"/>
              </w:rPr>
              <w:t>18 (8.5</w:t>
            </w:r>
            <w:r w:rsidR="002448B3" w:rsidRPr="007C5EBB">
              <w:rPr>
                <w:rFonts w:ascii="Times New Roman" w:hAnsi="Times New Roman" w:cs="Times New Roman"/>
                <w:sz w:val="20"/>
                <w:szCs w:val="20"/>
              </w:rPr>
              <w:t>)</w:t>
            </w:r>
          </w:p>
          <w:p w14:paraId="5B9BB429" w14:textId="74B93A00" w:rsidR="00D005D0" w:rsidRPr="007C5EBB" w:rsidRDefault="00B91FB5" w:rsidP="00AC0E0F">
            <w:pPr>
              <w:jc w:val="center"/>
              <w:rPr>
                <w:rFonts w:ascii="Times New Roman" w:hAnsi="Times New Roman" w:cs="Times New Roman"/>
                <w:sz w:val="20"/>
                <w:szCs w:val="20"/>
              </w:rPr>
            </w:pPr>
            <w:r w:rsidRPr="007C5EBB">
              <w:rPr>
                <w:rFonts w:ascii="Times New Roman" w:hAnsi="Times New Roman" w:cs="Times New Roman"/>
                <w:sz w:val="20"/>
                <w:szCs w:val="20"/>
              </w:rPr>
              <w:t>5 (2.4</w:t>
            </w:r>
            <w:r w:rsidR="00D005D0" w:rsidRPr="007C5EBB">
              <w:rPr>
                <w:rFonts w:ascii="Times New Roman" w:hAnsi="Times New Roman" w:cs="Times New Roman"/>
                <w:sz w:val="20"/>
                <w:szCs w:val="20"/>
              </w:rPr>
              <w:t>)</w:t>
            </w:r>
          </w:p>
        </w:tc>
      </w:tr>
      <w:tr w:rsidR="002448B3" w:rsidRPr="007C5EBB" w14:paraId="38AC6D54" w14:textId="77777777" w:rsidTr="004263BA">
        <w:trPr>
          <w:gridBefore w:val="1"/>
          <w:wBefore w:w="720" w:type="dxa"/>
        </w:trPr>
        <w:tc>
          <w:tcPr>
            <w:tcW w:w="4788" w:type="dxa"/>
            <w:gridSpan w:val="2"/>
          </w:tcPr>
          <w:p w14:paraId="72CA56BB" w14:textId="77777777" w:rsidR="002448B3" w:rsidRPr="007C5EBB" w:rsidRDefault="002448B3" w:rsidP="00AC0E0F">
            <w:pPr>
              <w:rPr>
                <w:rFonts w:ascii="Times New Roman" w:hAnsi="Times New Roman" w:cs="Times New Roman"/>
                <w:sz w:val="20"/>
                <w:szCs w:val="20"/>
              </w:rPr>
            </w:pPr>
            <w:r w:rsidRPr="007C5EBB">
              <w:rPr>
                <w:rFonts w:ascii="Times New Roman" w:hAnsi="Times New Roman" w:cs="Times New Roman"/>
                <w:sz w:val="20"/>
                <w:szCs w:val="20"/>
              </w:rPr>
              <w:t>Choose not to respond</w:t>
            </w:r>
          </w:p>
        </w:tc>
        <w:tc>
          <w:tcPr>
            <w:tcW w:w="4788" w:type="dxa"/>
            <w:gridSpan w:val="2"/>
          </w:tcPr>
          <w:p w14:paraId="576E2C75" w14:textId="2F7650AF" w:rsidR="002448B3" w:rsidRPr="007C5EBB" w:rsidRDefault="00565D8B" w:rsidP="00AC0E0F">
            <w:pPr>
              <w:jc w:val="center"/>
              <w:rPr>
                <w:rFonts w:ascii="Times New Roman" w:hAnsi="Times New Roman" w:cs="Times New Roman"/>
                <w:sz w:val="20"/>
                <w:szCs w:val="20"/>
              </w:rPr>
            </w:pPr>
            <w:r w:rsidRPr="007C5EBB">
              <w:rPr>
                <w:rFonts w:ascii="Times New Roman" w:hAnsi="Times New Roman" w:cs="Times New Roman"/>
                <w:sz w:val="20"/>
                <w:szCs w:val="20"/>
              </w:rPr>
              <w:t>5</w:t>
            </w:r>
            <w:r w:rsidR="002448B3" w:rsidRPr="007C5EBB">
              <w:rPr>
                <w:rFonts w:ascii="Times New Roman" w:hAnsi="Times New Roman" w:cs="Times New Roman"/>
                <w:sz w:val="20"/>
                <w:szCs w:val="20"/>
              </w:rPr>
              <w:t xml:space="preserve"> </w:t>
            </w:r>
            <w:r w:rsidRPr="007C5EBB">
              <w:rPr>
                <w:rFonts w:ascii="Times New Roman" w:hAnsi="Times New Roman" w:cs="Times New Roman"/>
                <w:sz w:val="20"/>
                <w:szCs w:val="20"/>
              </w:rPr>
              <w:t>(2.4</w:t>
            </w:r>
            <w:r w:rsidR="002448B3" w:rsidRPr="007C5EBB">
              <w:rPr>
                <w:rFonts w:ascii="Times New Roman" w:hAnsi="Times New Roman" w:cs="Times New Roman"/>
                <w:sz w:val="20"/>
                <w:szCs w:val="20"/>
              </w:rPr>
              <w:t>)</w:t>
            </w:r>
          </w:p>
        </w:tc>
      </w:tr>
    </w:tbl>
    <w:p w14:paraId="4E3F4841" w14:textId="77777777" w:rsidR="002448B3" w:rsidRPr="007C5EBB" w:rsidRDefault="002448B3" w:rsidP="00AC0E0F">
      <w:pPr>
        <w:rPr>
          <w:rFonts w:ascii="Times New Roman" w:hAnsi="Times New Roman" w:cs="Times New Roman"/>
          <w:sz w:val="20"/>
          <w:szCs w:val="2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12"/>
        <w:gridCol w:w="4068"/>
        <w:gridCol w:w="108"/>
        <w:gridCol w:w="612"/>
        <w:gridCol w:w="4068"/>
        <w:gridCol w:w="108"/>
        <w:gridCol w:w="612"/>
      </w:tblGrid>
      <w:tr w:rsidR="00CB0531" w:rsidRPr="007C5EBB" w14:paraId="5FD19566" w14:textId="77777777" w:rsidTr="004263BA">
        <w:trPr>
          <w:gridAfter w:val="2"/>
          <w:wAfter w:w="720" w:type="dxa"/>
        </w:trPr>
        <w:tc>
          <w:tcPr>
            <w:tcW w:w="4788" w:type="dxa"/>
            <w:gridSpan w:val="3"/>
          </w:tcPr>
          <w:p w14:paraId="4BD5E69B" w14:textId="0318F01B" w:rsidR="00CB0531" w:rsidRPr="007C5EBB" w:rsidRDefault="00C25931" w:rsidP="00AC0E0F">
            <w:pPr>
              <w:rPr>
                <w:rFonts w:ascii="Times New Roman" w:hAnsi="Times New Roman" w:cs="Times New Roman"/>
                <w:b/>
                <w:sz w:val="20"/>
                <w:szCs w:val="20"/>
              </w:rPr>
            </w:pPr>
            <w:r w:rsidRPr="007C5EBB">
              <w:rPr>
                <w:rFonts w:ascii="Times New Roman" w:hAnsi="Times New Roman" w:cs="Times New Roman"/>
                <w:b/>
                <w:sz w:val="20"/>
                <w:szCs w:val="20"/>
              </w:rPr>
              <w:t>Insurance Status</w:t>
            </w:r>
          </w:p>
        </w:tc>
        <w:tc>
          <w:tcPr>
            <w:tcW w:w="4788" w:type="dxa"/>
            <w:gridSpan w:val="3"/>
          </w:tcPr>
          <w:p w14:paraId="67FC9449" w14:textId="77777777" w:rsidR="00CB0531" w:rsidRPr="007C5EBB" w:rsidRDefault="00CB0531" w:rsidP="00AC0E0F">
            <w:pPr>
              <w:jc w:val="center"/>
              <w:rPr>
                <w:rFonts w:ascii="Times New Roman" w:hAnsi="Times New Roman" w:cs="Times New Roman"/>
                <w:sz w:val="20"/>
                <w:szCs w:val="20"/>
              </w:rPr>
            </w:pPr>
          </w:p>
        </w:tc>
      </w:tr>
      <w:tr w:rsidR="00CB0531" w:rsidRPr="007C5EBB" w14:paraId="48565675" w14:textId="77777777" w:rsidTr="004263BA">
        <w:trPr>
          <w:gridBefore w:val="2"/>
          <w:wBefore w:w="720" w:type="dxa"/>
        </w:trPr>
        <w:tc>
          <w:tcPr>
            <w:tcW w:w="4788" w:type="dxa"/>
            <w:gridSpan w:val="3"/>
          </w:tcPr>
          <w:p w14:paraId="065D64F1" w14:textId="17678A2E" w:rsidR="00CB05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Medicaid/CHIP</w:t>
            </w:r>
          </w:p>
        </w:tc>
        <w:tc>
          <w:tcPr>
            <w:tcW w:w="4788" w:type="dxa"/>
            <w:gridSpan w:val="3"/>
          </w:tcPr>
          <w:p w14:paraId="47F620D5" w14:textId="21069414" w:rsidR="00CB05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117 (55.2)</w:t>
            </w:r>
          </w:p>
        </w:tc>
      </w:tr>
      <w:tr w:rsidR="00CB0531" w:rsidRPr="007C5EBB" w14:paraId="425F3DC0" w14:textId="77777777" w:rsidTr="004263BA">
        <w:trPr>
          <w:gridBefore w:val="2"/>
          <w:wBefore w:w="720" w:type="dxa"/>
        </w:trPr>
        <w:tc>
          <w:tcPr>
            <w:tcW w:w="4788" w:type="dxa"/>
            <w:gridSpan w:val="3"/>
          </w:tcPr>
          <w:p w14:paraId="333FA07E" w14:textId="7A74E028" w:rsidR="00CB05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Uninsured</w:t>
            </w:r>
          </w:p>
        </w:tc>
        <w:tc>
          <w:tcPr>
            <w:tcW w:w="4788" w:type="dxa"/>
            <w:gridSpan w:val="3"/>
          </w:tcPr>
          <w:p w14:paraId="2AFCE162" w14:textId="5151AAC5" w:rsidR="00CB05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92 (43.4)</w:t>
            </w:r>
          </w:p>
        </w:tc>
      </w:tr>
      <w:tr w:rsidR="00CB0531" w:rsidRPr="007C5EBB" w14:paraId="6DA08C49" w14:textId="77777777" w:rsidTr="004263BA">
        <w:trPr>
          <w:gridBefore w:val="2"/>
          <w:wBefore w:w="720" w:type="dxa"/>
        </w:trPr>
        <w:tc>
          <w:tcPr>
            <w:tcW w:w="4788" w:type="dxa"/>
            <w:gridSpan w:val="3"/>
          </w:tcPr>
          <w:p w14:paraId="5AD0BDB9" w14:textId="3A2C17D9" w:rsidR="00CB05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Chose not to respond</w:t>
            </w:r>
          </w:p>
        </w:tc>
        <w:tc>
          <w:tcPr>
            <w:tcW w:w="4788" w:type="dxa"/>
            <w:gridSpan w:val="3"/>
          </w:tcPr>
          <w:p w14:paraId="150B4D48" w14:textId="658898EA" w:rsidR="00CB0531" w:rsidRPr="007C5EBB" w:rsidRDefault="00C25931" w:rsidP="00AC0E0F">
            <w:pPr>
              <w:jc w:val="center"/>
              <w:rPr>
                <w:rFonts w:ascii="Times New Roman" w:hAnsi="Times New Roman" w:cs="Times New Roman"/>
                <w:sz w:val="20"/>
                <w:szCs w:val="20"/>
              </w:rPr>
            </w:pPr>
            <w:r w:rsidRPr="007C5EBB">
              <w:rPr>
                <w:rFonts w:ascii="Times New Roman" w:hAnsi="Times New Roman" w:cs="Times New Roman"/>
                <w:sz w:val="20"/>
                <w:szCs w:val="20"/>
              </w:rPr>
              <w:t>3 (1.4)</w:t>
            </w:r>
          </w:p>
        </w:tc>
      </w:tr>
      <w:tr w:rsidR="00CB0531" w:rsidRPr="007C5EBB" w14:paraId="6FAD873B" w14:textId="77777777" w:rsidTr="004263BA">
        <w:trPr>
          <w:gridBefore w:val="1"/>
          <w:gridAfter w:val="1"/>
          <w:wBefore w:w="108" w:type="dxa"/>
          <w:wAfter w:w="612" w:type="dxa"/>
        </w:trPr>
        <w:tc>
          <w:tcPr>
            <w:tcW w:w="4788" w:type="dxa"/>
            <w:gridSpan w:val="3"/>
            <w:tcBorders>
              <w:bottom w:val="single" w:sz="4" w:space="0" w:color="auto"/>
            </w:tcBorders>
          </w:tcPr>
          <w:p w14:paraId="4332B126" w14:textId="489BA344" w:rsidR="00CB0531" w:rsidRPr="007C5EBB" w:rsidRDefault="00CB0531" w:rsidP="00AC0E0F">
            <w:pPr>
              <w:rPr>
                <w:rFonts w:ascii="Times New Roman" w:hAnsi="Times New Roman" w:cs="Times New Roman"/>
                <w:sz w:val="20"/>
                <w:szCs w:val="20"/>
              </w:rPr>
            </w:pPr>
          </w:p>
        </w:tc>
        <w:tc>
          <w:tcPr>
            <w:tcW w:w="4788" w:type="dxa"/>
            <w:gridSpan w:val="3"/>
            <w:tcBorders>
              <w:bottom w:val="single" w:sz="4" w:space="0" w:color="auto"/>
            </w:tcBorders>
          </w:tcPr>
          <w:p w14:paraId="0AC2D68D" w14:textId="15D353D4" w:rsidR="00CB0531" w:rsidRPr="007C5EBB" w:rsidRDefault="00CB0531" w:rsidP="00AC0E0F">
            <w:pPr>
              <w:ind w:left="720"/>
              <w:jc w:val="center"/>
              <w:rPr>
                <w:rFonts w:ascii="Times New Roman" w:hAnsi="Times New Roman" w:cs="Times New Roman"/>
                <w:sz w:val="20"/>
                <w:szCs w:val="20"/>
              </w:rPr>
            </w:pPr>
          </w:p>
        </w:tc>
      </w:tr>
    </w:tbl>
    <w:p w14:paraId="6F29E27C" w14:textId="5CB1777B" w:rsidR="00CB0531" w:rsidRPr="007C5EBB" w:rsidRDefault="00C25931" w:rsidP="00AC0E0F">
      <w:pPr>
        <w:rPr>
          <w:rFonts w:ascii="Times New Roman" w:hAnsi="Times New Roman" w:cs="Times New Roman"/>
          <w:sz w:val="20"/>
          <w:szCs w:val="20"/>
        </w:rPr>
      </w:pPr>
      <w:r w:rsidRPr="007C5EBB">
        <w:rPr>
          <w:rFonts w:ascii="Times New Roman" w:hAnsi="Times New Roman" w:cs="Times New Roman"/>
          <w:sz w:val="20"/>
          <w:szCs w:val="20"/>
        </w:rPr>
        <w:t>Note: N=212</w:t>
      </w:r>
      <w:r w:rsidR="00CB0531" w:rsidRPr="007C5EBB">
        <w:rPr>
          <w:rFonts w:ascii="Times New Roman" w:hAnsi="Times New Roman" w:cs="Times New Roman"/>
          <w:sz w:val="20"/>
          <w:szCs w:val="20"/>
        </w:rPr>
        <w:t>; Total may not equal to 100% due to missing data</w:t>
      </w:r>
      <w:r w:rsidR="00CB0531" w:rsidRPr="007C5EBB">
        <w:rPr>
          <w:rFonts w:ascii="Times New Roman" w:hAnsi="Times New Roman" w:cs="Times New Roman"/>
          <w:sz w:val="20"/>
          <w:szCs w:val="20"/>
        </w:rPr>
        <w:tab/>
      </w:r>
    </w:p>
    <w:p w14:paraId="79AFBF04" w14:textId="77777777" w:rsidR="0070233C" w:rsidRDefault="0070233C" w:rsidP="00AC0E0F">
      <w:pPr>
        <w:rPr>
          <w:rFonts w:ascii="Times New Roman" w:hAnsi="Times New Roman" w:cs="Times New Roman"/>
          <w:sz w:val="20"/>
          <w:szCs w:val="20"/>
        </w:rPr>
        <w:sectPr w:rsidR="0070233C" w:rsidSect="007C5EBB">
          <w:type w:val="continuous"/>
          <w:pgSz w:w="12240" w:h="15840"/>
          <w:pgMar w:top="1440" w:right="1440" w:bottom="1440" w:left="1440" w:header="720" w:footer="720" w:gutter="0"/>
          <w:cols w:space="720"/>
          <w:docGrid w:linePitch="360"/>
        </w:sectPr>
      </w:pPr>
    </w:p>
    <w:p w14:paraId="70880532" w14:textId="77777777" w:rsidR="00AC0E0F" w:rsidRDefault="00AC0E0F" w:rsidP="00C04F2A">
      <w:pPr>
        <w:rPr>
          <w:rFonts w:ascii="Times New Roman" w:hAnsi="Times New Roman" w:cs="Times New Roman"/>
          <w:sz w:val="20"/>
          <w:szCs w:val="20"/>
        </w:rPr>
      </w:pPr>
    </w:p>
    <w:p w14:paraId="3EF2149B" w14:textId="77777777" w:rsidR="0070233C" w:rsidRDefault="0070233C" w:rsidP="00C04F2A">
      <w:pPr>
        <w:rPr>
          <w:rFonts w:ascii="Times New Roman" w:hAnsi="Times New Roman" w:cs="Times New Roman"/>
          <w:sz w:val="20"/>
          <w:szCs w:val="20"/>
        </w:rPr>
        <w:sectPr w:rsidR="0070233C" w:rsidSect="0070233C">
          <w:type w:val="continuous"/>
          <w:pgSz w:w="12240" w:h="15840"/>
          <w:pgMar w:top="1440" w:right="1440" w:bottom="1440" w:left="1440" w:header="720" w:footer="720" w:gutter="0"/>
          <w:cols w:num="2" w:space="720"/>
          <w:docGrid w:linePitch="360"/>
        </w:sectPr>
      </w:pPr>
    </w:p>
    <w:p w14:paraId="6219AF12" w14:textId="663FF6F5" w:rsidR="00360629" w:rsidRPr="007C5EBB" w:rsidRDefault="00360629" w:rsidP="00C04F2A">
      <w:pPr>
        <w:rPr>
          <w:rFonts w:ascii="Times New Roman" w:hAnsi="Times New Roman" w:cs="Times New Roman"/>
          <w:sz w:val="20"/>
          <w:szCs w:val="20"/>
        </w:rPr>
      </w:pPr>
    </w:p>
    <w:p w14:paraId="7AF6A4FF" w14:textId="5ED43F84" w:rsidR="00C04F2A" w:rsidRPr="007C5EBB" w:rsidRDefault="00C04F2A" w:rsidP="00C04F2A">
      <w:pPr>
        <w:rPr>
          <w:rFonts w:ascii="Times New Roman" w:hAnsi="Times New Roman" w:cs="Times New Roman"/>
          <w:sz w:val="20"/>
          <w:szCs w:val="20"/>
        </w:rPr>
      </w:pPr>
      <w:r w:rsidRPr="007C5EBB">
        <w:rPr>
          <w:rFonts w:ascii="Times New Roman" w:hAnsi="Times New Roman" w:cs="Times New Roman"/>
          <w:b/>
          <w:sz w:val="20"/>
          <w:szCs w:val="20"/>
        </w:rPr>
        <w:t xml:space="preserve">Table </w:t>
      </w:r>
      <w:r w:rsidR="002E2738" w:rsidRPr="007C5EBB">
        <w:rPr>
          <w:rFonts w:ascii="Times New Roman" w:hAnsi="Times New Roman" w:cs="Times New Roman"/>
          <w:b/>
          <w:sz w:val="20"/>
          <w:szCs w:val="20"/>
        </w:rPr>
        <w:t>3</w:t>
      </w:r>
      <w:r w:rsidRPr="007C5EBB">
        <w:rPr>
          <w:rFonts w:ascii="Times New Roman" w:hAnsi="Times New Roman" w:cs="Times New Roman"/>
          <w:b/>
          <w:sz w:val="20"/>
          <w:szCs w:val="20"/>
        </w:rPr>
        <w:t xml:space="preserve">: Oral Health Status of Children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04F2A" w:rsidRPr="007C5EBB" w14:paraId="4CE6990F" w14:textId="77777777" w:rsidTr="004263BA">
        <w:tc>
          <w:tcPr>
            <w:tcW w:w="4788" w:type="dxa"/>
            <w:tcBorders>
              <w:top w:val="single" w:sz="4" w:space="0" w:color="auto"/>
              <w:bottom w:val="single" w:sz="4" w:space="0" w:color="auto"/>
            </w:tcBorders>
          </w:tcPr>
          <w:p w14:paraId="6324D6D3" w14:textId="77777777" w:rsidR="00C04F2A" w:rsidRPr="007C5EBB" w:rsidRDefault="00C04F2A" w:rsidP="004263BA">
            <w:pPr>
              <w:rPr>
                <w:rFonts w:ascii="Times New Roman" w:hAnsi="Times New Roman" w:cs="Times New Roman"/>
                <w:b/>
                <w:sz w:val="20"/>
                <w:szCs w:val="20"/>
              </w:rPr>
            </w:pPr>
          </w:p>
        </w:tc>
        <w:tc>
          <w:tcPr>
            <w:tcW w:w="4788" w:type="dxa"/>
            <w:tcBorders>
              <w:top w:val="single" w:sz="4" w:space="0" w:color="auto"/>
              <w:bottom w:val="single" w:sz="4" w:space="0" w:color="auto"/>
            </w:tcBorders>
          </w:tcPr>
          <w:p w14:paraId="1752572A" w14:textId="77777777" w:rsidR="00C04F2A" w:rsidRPr="007C5EBB" w:rsidRDefault="00C04F2A" w:rsidP="004263BA">
            <w:pPr>
              <w:ind w:left="1440"/>
              <w:jc w:val="center"/>
              <w:rPr>
                <w:rFonts w:ascii="Times New Roman" w:hAnsi="Times New Roman" w:cs="Times New Roman"/>
                <w:b/>
                <w:sz w:val="20"/>
                <w:szCs w:val="20"/>
              </w:rPr>
            </w:pPr>
            <w:r w:rsidRPr="007C5EBB">
              <w:rPr>
                <w:rFonts w:ascii="Times New Roman" w:hAnsi="Times New Roman" w:cs="Times New Roman"/>
                <w:b/>
                <w:sz w:val="20"/>
                <w:szCs w:val="20"/>
              </w:rPr>
              <w:t>Total N (%)</w:t>
            </w:r>
          </w:p>
        </w:tc>
      </w:tr>
    </w:tbl>
    <w:p w14:paraId="458AB422" w14:textId="270AC1D4" w:rsidR="00C04F2A" w:rsidRPr="007C5EBB" w:rsidRDefault="00C04F2A" w:rsidP="00C04F2A">
      <w:pPr>
        <w:rPr>
          <w:rFonts w:ascii="Times New Roman" w:hAnsi="Times New Roman" w:cs="Times New Roman"/>
          <w:b/>
          <w:sz w:val="20"/>
          <w:szCs w:val="20"/>
        </w:rPr>
      </w:pPr>
      <w:r w:rsidRPr="007C5EBB">
        <w:rPr>
          <w:rFonts w:ascii="Times New Roman" w:hAnsi="Times New Roman" w:cs="Times New Roman"/>
          <w:b/>
          <w:sz w:val="20"/>
          <w:szCs w:val="20"/>
        </w:rPr>
        <w:t>Untreated Decay</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68"/>
        <w:gridCol w:w="720"/>
        <w:gridCol w:w="4068"/>
        <w:gridCol w:w="720"/>
      </w:tblGrid>
      <w:tr w:rsidR="00C04F2A" w:rsidRPr="007C5EBB" w14:paraId="5478741B" w14:textId="77777777" w:rsidTr="004263BA">
        <w:trPr>
          <w:gridBefore w:val="1"/>
          <w:wBefore w:w="720" w:type="dxa"/>
        </w:trPr>
        <w:tc>
          <w:tcPr>
            <w:tcW w:w="4788" w:type="dxa"/>
            <w:gridSpan w:val="2"/>
          </w:tcPr>
          <w:p w14:paraId="752D5477" w14:textId="6BA64C4D" w:rsidR="00C04F2A" w:rsidRPr="007C5EBB" w:rsidRDefault="00C04F2A" w:rsidP="004263BA">
            <w:pPr>
              <w:spacing w:line="276" w:lineRule="auto"/>
              <w:rPr>
                <w:rFonts w:ascii="Times New Roman" w:hAnsi="Times New Roman" w:cs="Times New Roman"/>
                <w:sz w:val="20"/>
                <w:szCs w:val="20"/>
              </w:rPr>
            </w:pPr>
          </w:p>
          <w:p w14:paraId="2F97BFD0" w14:textId="77777777"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Yes</w:t>
            </w:r>
          </w:p>
          <w:p w14:paraId="670E4A72" w14:textId="65CA1996"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No</w:t>
            </w:r>
          </w:p>
        </w:tc>
        <w:tc>
          <w:tcPr>
            <w:tcW w:w="4788" w:type="dxa"/>
            <w:gridSpan w:val="2"/>
          </w:tcPr>
          <w:p w14:paraId="2A4AE2F0" w14:textId="77777777" w:rsidR="00C04F2A" w:rsidRPr="007C5EBB" w:rsidRDefault="00C04F2A" w:rsidP="004263BA">
            <w:pPr>
              <w:spacing w:line="276" w:lineRule="auto"/>
              <w:jc w:val="center"/>
              <w:rPr>
                <w:rFonts w:ascii="Times New Roman" w:hAnsi="Times New Roman" w:cs="Times New Roman"/>
                <w:sz w:val="20"/>
                <w:szCs w:val="20"/>
              </w:rPr>
            </w:pPr>
          </w:p>
          <w:p w14:paraId="2BBD6370" w14:textId="77777777"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123 (57.7</w:t>
            </w:r>
            <w:r w:rsidR="00C04F2A" w:rsidRPr="007C5EBB">
              <w:rPr>
                <w:rFonts w:ascii="Times New Roman" w:hAnsi="Times New Roman" w:cs="Times New Roman"/>
                <w:sz w:val="20"/>
                <w:szCs w:val="20"/>
              </w:rPr>
              <w:t>)</w:t>
            </w:r>
          </w:p>
          <w:p w14:paraId="15F0DDC4" w14:textId="1B9C7E2E" w:rsidR="007F457C"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89 (41.8)</w:t>
            </w:r>
          </w:p>
        </w:tc>
      </w:tr>
      <w:tr w:rsidR="00C04F2A" w:rsidRPr="007C5EBB" w14:paraId="7F896894" w14:textId="77777777" w:rsidTr="004263BA">
        <w:trPr>
          <w:gridAfter w:val="1"/>
          <w:wAfter w:w="720" w:type="dxa"/>
        </w:trPr>
        <w:tc>
          <w:tcPr>
            <w:tcW w:w="4788" w:type="dxa"/>
            <w:gridSpan w:val="2"/>
          </w:tcPr>
          <w:p w14:paraId="4620AA1D" w14:textId="2B466400" w:rsidR="00C04F2A" w:rsidRPr="007C5EBB" w:rsidRDefault="00C04F2A" w:rsidP="004263BA">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Caries Experience</w:t>
            </w:r>
          </w:p>
        </w:tc>
        <w:tc>
          <w:tcPr>
            <w:tcW w:w="4788" w:type="dxa"/>
            <w:gridSpan w:val="2"/>
          </w:tcPr>
          <w:p w14:paraId="6E2AEB15" w14:textId="77777777" w:rsidR="00C04F2A" w:rsidRPr="007C5EBB" w:rsidRDefault="00C04F2A" w:rsidP="004263BA">
            <w:pPr>
              <w:spacing w:line="276" w:lineRule="auto"/>
              <w:jc w:val="center"/>
              <w:rPr>
                <w:rFonts w:ascii="Times New Roman" w:hAnsi="Times New Roman" w:cs="Times New Roman"/>
                <w:sz w:val="20"/>
                <w:szCs w:val="20"/>
              </w:rPr>
            </w:pPr>
          </w:p>
        </w:tc>
      </w:tr>
      <w:tr w:rsidR="00C04F2A" w:rsidRPr="007C5EBB" w14:paraId="5FD2FF30" w14:textId="77777777" w:rsidTr="004263BA">
        <w:trPr>
          <w:gridBefore w:val="1"/>
          <w:wBefore w:w="720" w:type="dxa"/>
        </w:trPr>
        <w:tc>
          <w:tcPr>
            <w:tcW w:w="4788" w:type="dxa"/>
            <w:gridSpan w:val="2"/>
          </w:tcPr>
          <w:p w14:paraId="557E01CE" w14:textId="7AD9F623"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Yes</w:t>
            </w:r>
          </w:p>
        </w:tc>
        <w:tc>
          <w:tcPr>
            <w:tcW w:w="4788" w:type="dxa"/>
            <w:gridSpan w:val="2"/>
          </w:tcPr>
          <w:p w14:paraId="5E182868" w14:textId="421FFA2E"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152 (71.4</w:t>
            </w:r>
            <w:r w:rsidR="00C04F2A" w:rsidRPr="007C5EBB">
              <w:rPr>
                <w:rFonts w:ascii="Times New Roman" w:hAnsi="Times New Roman" w:cs="Times New Roman"/>
                <w:sz w:val="20"/>
                <w:szCs w:val="20"/>
              </w:rPr>
              <w:t>)</w:t>
            </w:r>
          </w:p>
        </w:tc>
      </w:tr>
      <w:tr w:rsidR="00C04F2A" w:rsidRPr="007C5EBB" w14:paraId="5FE8EE2F" w14:textId="77777777" w:rsidTr="004263BA">
        <w:trPr>
          <w:gridBefore w:val="1"/>
          <w:wBefore w:w="720" w:type="dxa"/>
        </w:trPr>
        <w:tc>
          <w:tcPr>
            <w:tcW w:w="4788" w:type="dxa"/>
            <w:gridSpan w:val="2"/>
          </w:tcPr>
          <w:p w14:paraId="3C94B35F" w14:textId="33B899F0"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No</w:t>
            </w:r>
          </w:p>
        </w:tc>
        <w:tc>
          <w:tcPr>
            <w:tcW w:w="4788" w:type="dxa"/>
            <w:gridSpan w:val="2"/>
          </w:tcPr>
          <w:p w14:paraId="2FB222AC" w14:textId="4F203276"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60 (28.2</w:t>
            </w:r>
            <w:r w:rsidR="00C04F2A" w:rsidRPr="007C5EBB">
              <w:rPr>
                <w:rFonts w:ascii="Times New Roman" w:hAnsi="Times New Roman" w:cs="Times New Roman"/>
                <w:sz w:val="20"/>
                <w:szCs w:val="20"/>
              </w:rPr>
              <w:t>)</w:t>
            </w:r>
          </w:p>
        </w:tc>
      </w:tr>
      <w:tr w:rsidR="00C04F2A" w:rsidRPr="007C5EBB" w14:paraId="5969365F" w14:textId="77777777" w:rsidTr="004263BA">
        <w:trPr>
          <w:gridAfter w:val="1"/>
          <w:wAfter w:w="720" w:type="dxa"/>
        </w:trPr>
        <w:tc>
          <w:tcPr>
            <w:tcW w:w="4788" w:type="dxa"/>
            <w:gridSpan w:val="2"/>
          </w:tcPr>
          <w:p w14:paraId="060668C7" w14:textId="1EBBAA54" w:rsidR="00C04F2A" w:rsidRPr="007C5EBB" w:rsidRDefault="00C04F2A" w:rsidP="004263BA">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Sealants</w:t>
            </w:r>
          </w:p>
        </w:tc>
        <w:tc>
          <w:tcPr>
            <w:tcW w:w="4788" w:type="dxa"/>
            <w:gridSpan w:val="2"/>
          </w:tcPr>
          <w:p w14:paraId="3EEE5CC1" w14:textId="77777777" w:rsidR="00C04F2A" w:rsidRPr="007C5EBB" w:rsidRDefault="00C04F2A" w:rsidP="004263BA">
            <w:pPr>
              <w:spacing w:line="276" w:lineRule="auto"/>
              <w:jc w:val="center"/>
              <w:rPr>
                <w:rFonts w:ascii="Times New Roman" w:hAnsi="Times New Roman" w:cs="Times New Roman"/>
                <w:sz w:val="20"/>
                <w:szCs w:val="20"/>
              </w:rPr>
            </w:pPr>
          </w:p>
        </w:tc>
      </w:tr>
      <w:tr w:rsidR="00C04F2A" w:rsidRPr="007C5EBB" w14:paraId="22F45155" w14:textId="77777777" w:rsidTr="004263BA">
        <w:trPr>
          <w:gridBefore w:val="1"/>
          <w:wBefore w:w="720" w:type="dxa"/>
        </w:trPr>
        <w:tc>
          <w:tcPr>
            <w:tcW w:w="4788" w:type="dxa"/>
            <w:gridSpan w:val="2"/>
          </w:tcPr>
          <w:p w14:paraId="3457C7AF" w14:textId="4793AD6A"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Yes</w:t>
            </w:r>
          </w:p>
        </w:tc>
        <w:tc>
          <w:tcPr>
            <w:tcW w:w="4788" w:type="dxa"/>
            <w:gridSpan w:val="2"/>
          </w:tcPr>
          <w:p w14:paraId="26945101" w14:textId="18334223"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58 (27.2</w:t>
            </w:r>
            <w:r w:rsidR="00C04F2A" w:rsidRPr="007C5EBB">
              <w:rPr>
                <w:rFonts w:ascii="Times New Roman" w:hAnsi="Times New Roman" w:cs="Times New Roman"/>
                <w:sz w:val="20"/>
                <w:szCs w:val="20"/>
              </w:rPr>
              <w:t>)</w:t>
            </w:r>
          </w:p>
        </w:tc>
      </w:tr>
      <w:tr w:rsidR="00C04F2A" w:rsidRPr="007C5EBB" w14:paraId="213B7230" w14:textId="77777777" w:rsidTr="004263BA">
        <w:trPr>
          <w:gridBefore w:val="1"/>
          <w:wBefore w:w="720" w:type="dxa"/>
        </w:trPr>
        <w:tc>
          <w:tcPr>
            <w:tcW w:w="4788" w:type="dxa"/>
            <w:gridSpan w:val="2"/>
          </w:tcPr>
          <w:p w14:paraId="11E0E5AD" w14:textId="32323149"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No</w:t>
            </w:r>
          </w:p>
        </w:tc>
        <w:tc>
          <w:tcPr>
            <w:tcW w:w="4788" w:type="dxa"/>
            <w:gridSpan w:val="2"/>
          </w:tcPr>
          <w:p w14:paraId="7BD7CF5F" w14:textId="2D528FCD" w:rsidR="00C04F2A" w:rsidRPr="007C5EBB" w:rsidRDefault="007F457C" w:rsidP="007F457C">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153</w:t>
            </w:r>
            <w:r w:rsidR="00C04F2A" w:rsidRPr="007C5EBB">
              <w:rPr>
                <w:rFonts w:ascii="Times New Roman" w:hAnsi="Times New Roman" w:cs="Times New Roman"/>
                <w:sz w:val="20"/>
                <w:szCs w:val="20"/>
              </w:rPr>
              <w:t xml:space="preserve"> (</w:t>
            </w:r>
            <w:r w:rsidRPr="007C5EBB">
              <w:rPr>
                <w:rFonts w:ascii="Times New Roman" w:hAnsi="Times New Roman" w:cs="Times New Roman"/>
                <w:sz w:val="20"/>
                <w:szCs w:val="20"/>
              </w:rPr>
              <w:t>71.8</w:t>
            </w:r>
            <w:r w:rsidR="00C04F2A" w:rsidRPr="007C5EBB">
              <w:rPr>
                <w:rFonts w:ascii="Times New Roman" w:hAnsi="Times New Roman" w:cs="Times New Roman"/>
                <w:sz w:val="20"/>
                <w:szCs w:val="20"/>
              </w:rPr>
              <w:t>)</w:t>
            </w:r>
          </w:p>
        </w:tc>
      </w:tr>
    </w:tbl>
    <w:p w14:paraId="74848EFF" w14:textId="77777777" w:rsidR="00C04F2A" w:rsidRPr="007C5EBB" w:rsidRDefault="00C04F2A" w:rsidP="00C04F2A">
      <w:pPr>
        <w:rPr>
          <w:rFonts w:ascii="Times New Roman" w:hAnsi="Times New Roman" w:cs="Times New Roman"/>
          <w:sz w:val="20"/>
          <w:szCs w:val="20"/>
        </w:rPr>
      </w:pP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12"/>
        <w:gridCol w:w="4068"/>
        <w:gridCol w:w="108"/>
        <w:gridCol w:w="612"/>
        <w:gridCol w:w="4068"/>
        <w:gridCol w:w="108"/>
        <w:gridCol w:w="612"/>
      </w:tblGrid>
      <w:tr w:rsidR="00C04F2A" w:rsidRPr="007C5EBB" w14:paraId="2F145119" w14:textId="77777777" w:rsidTr="004263BA">
        <w:trPr>
          <w:gridAfter w:val="2"/>
          <w:wAfter w:w="720" w:type="dxa"/>
        </w:trPr>
        <w:tc>
          <w:tcPr>
            <w:tcW w:w="4788" w:type="dxa"/>
            <w:gridSpan w:val="3"/>
          </w:tcPr>
          <w:p w14:paraId="1C6EBD7B" w14:textId="61A86ECB" w:rsidR="00C04F2A" w:rsidRPr="007C5EBB" w:rsidRDefault="00C04F2A" w:rsidP="004263BA">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Treatment Urgency</w:t>
            </w:r>
          </w:p>
        </w:tc>
        <w:tc>
          <w:tcPr>
            <w:tcW w:w="4788" w:type="dxa"/>
            <w:gridSpan w:val="3"/>
          </w:tcPr>
          <w:p w14:paraId="5F67E04A" w14:textId="77777777" w:rsidR="00C04F2A" w:rsidRPr="007C5EBB" w:rsidRDefault="00C04F2A" w:rsidP="004263BA">
            <w:pPr>
              <w:spacing w:line="276" w:lineRule="auto"/>
              <w:jc w:val="center"/>
              <w:rPr>
                <w:rFonts w:ascii="Times New Roman" w:hAnsi="Times New Roman" w:cs="Times New Roman"/>
                <w:sz w:val="20"/>
                <w:szCs w:val="20"/>
              </w:rPr>
            </w:pPr>
          </w:p>
        </w:tc>
      </w:tr>
      <w:tr w:rsidR="00C04F2A" w:rsidRPr="007C5EBB" w14:paraId="659BE83A" w14:textId="77777777" w:rsidTr="004263BA">
        <w:trPr>
          <w:gridBefore w:val="2"/>
          <w:wBefore w:w="720" w:type="dxa"/>
        </w:trPr>
        <w:tc>
          <w:tcPr>
            <w:tcW w:w="4788" w:type="dxa"/>
            <w:gridSpan w:val="3"/>
          </w:tcPr>
          <w:p w14:paraId="3977FA3C" w14:textId="00A4631D"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No Obvious Problem</w:t>
            </w:r>
          </w:p>
        </w:tc>
        <w:tc>
          <w:tcPr>
            <w:tcW w:w="4788" w:type="dxa"/>
            <w:gridSpan w:val="3"/>
          </w:tcPr>
          <w:p w14:paraId="4AC79495" w14:textId="461E3EC4"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84 (39.4</w:t>
            </w:r>
            <w:r w:rsidR="00C04F2A" w:rsidRPr="007C5EBB">
              <w:rPr>
                <w:rFonts w:ascii="Times New Roman" w:hAnsi="Times New Roman" w:cs="Times New Roman"/>
                <w:sz w:val="20"/>
                <w:szCs w:val="20"/>
              </w:rPr>
              <w:t>)</w:t>
            </w:r>
          </w:p>
        </w:tc>
      </w:tr>
      <w:tr w:rsidR="00C04F2A" w:rsidRPr="007C5EBB" w14:paraId="09E9FB16" w14:textId="77777777" w:rsidTr="004263BA">
        <w:trPr>
          <w:gridBefore w:val="2"/>
          <w:wBefore w:w="720" w:type="dxa"/>
        </w:trPr>
        <w:tc>
          <w:tcPr>
            <w:tcW w:w="4788" w:type="dxa"/>
            <w:gridSpan w:val="3"/>
          </w:tcPr>
          <w:p w14:paraId="2928D994" w14:textId="68D2D4ED"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 xml:space="preserve">Early Care </w:t>
            </w:r>
          </w:p>
        </w:tc>
        <w:tc>
          <w:tcPr>
            <w:tcW w:w="4788" w:type="dxa"/>
            <w:gridSpan w:val="3"/>
          </w:tcPr>
          <w:p w14:paraId="1F2FDACF" w14:textId="7E58A46E" w:rsidR="00C04F2A" w:rsidRPr="007C5EBB" w:rsidRDefault="007F457C"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97 (45.5</w:t>
            </w:r>
            <w:r w:rsidR="00C04F2A" w:rsidRPr="007C5EBB">
              <w:rPr>
                <w:rFonts w:ascii="Times New Roman" w:hAnsi="Times New Roman" w:cs="Times New Roman"/>
                <w:sz w:val="20"/>
                <w:szCs w:val="20"/>
              </w:rPr>
              <w:t>)</w:t>
            </w:r>
          </w:p>
        </w:tc>
      </w:tr>
      <w:tr w:rsidR="00C04F2A" w:rsidRPr="007C5EBB" w14:paraId="21F59563" w14:textId="77777777" w:rsidTr="004263BA">
        <w:trPr>
          <w:gridBefore w:val="2"/>
          <w:wBefore w:w="720" w:type="dxa"/>
        </w:trPr>
        <w:tc>
          <w:tcPr>
            <w:tcW w:w="4788" w:type="dxa"/>
            <w:gridSpan w:val="3"/>
          </w:tcPr>
          <w:p w14:paraId="70524432" w14:textId="4A355F01" w:rsidR="00C04F2A" w:rsidRPr="007C5EBB" w:rsidRDefault="00C04F2A" w:rsidP="004263BA">
            <w:pPr>
              <w:spacing w:line="276" w:lineRule="auto"/>
              <w:rPr>
                <w:rFonts w:ascii="Times New Roman" w:hAnsi="Times New Roman" w:cs="Times New Roman"/>
                <w:sz w:val="20"/>
                <w:szCs w:val="20"/>
              </w:rPr>
            </w:pPr>
            <w:r w:rsidRPr="007C5EBB">
              <w:rPr>
                <w:rFonts w:ascii="Times New Roman" w:hAnsi="Times New Roman" w:cs="Times New Roman"/>
                <w:sz w:val="20"/>
                <w:szCs w:val="20"/>
              </w:rPr>
              <w:t>Urgent Care</w:t>
            </w:r>
          </w:p>
        </w:tc>
        <w:tc>
          <w:tcPr>
            <w:tcW w:w="4788" w:type="dxa"/>
            <w:gridSpan w:val="3"/>
          </w:tcPr>
          <w:p w14:paraId="1F0F1DC3" w14:textId="357F1B24" w:rsidR="00C04F2A" w:rsidRPr="007C5EBB" w:rsidRDefault="00C04F2A" w:rsidP="004263BA">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3</w:t>
            </w:r>
            <w:r w:rsidR="007F457C" w:rsidRPr="007C5EBB">
              <w:rPr>
                <w:rFonts w:ascii="Times New Roman" w:hAnsi="Times New Roman" w:cs="Times New Roman"/>
                <w:sz w:val="20"/>
                <w:szCs w:val="20"/>
              </w:rPr>
              <w:t>1 (14.6</w:t>
            </w:r>
            <w:r w:rsidRPr="007C5EBB">
              <w:rPr>
                <w:rFonts w:ascii="Times New Roman" w:hAnsi="Times New Roman" w:cs="Times New Roman"/>
                <w:sz w:val="20"/>
                <w:szCs w:val="20"/>
              </w:rPr>
              <w:t>)</w:t>
            </w:r>
          </w:p>
        </w:tc>
      </w:tr>
      <w:tr w:rsidR="00C04F2A" w:rsidRPr="007C5EBB" w14:paraId="44F8E4F7" w14:textId="77777777" w:rsidTr="004263BA">
        <w:trPr>
          <w:gridBefore w:val="1"/>
          <w:gridAfter w:val="1"/>
          <w:wBefore w:w="108" w:type="dxa"/>
          <w:wAfter w:w="612" w:type="dxa"/>
        </w:trPr>
        <w:tc>
          <w:tcPr>
            <w:tcW w:w="4788" w:type="dxa"/>
            <w:gridSpan w:val="3"/>
            <w:tcBorders>
              <w:bottom w:val="single" w:sz="4" w:space="0" w:color="auto"/>
            </w:tcBorders>
          </w:tcPr>
          <w:p w14:paraId="6570BEBF" w14:textId="77777777" w:rsidR="00C04F2A" w:rsidRPr="007C5EBB" w:rsidRDefault="00C04F2A" w:rsidP="00BA3E5F">
            <w:pPr>
              <w:spacing w:line="276" w:lineRule="auto"/>
              <w:jc w:val="center"/>
              <w:rPr>
                <w:rFonts w:ascii="Times New Roman" w:hAnsi="Times New Roman" w:cs="Times New Roman"/>
                <w:sz w:val="20"/>
                <w:szCs w:val="20"/>
              </w:rPr>
            </w:pPr>
          </w:p>
        </w:tc>
        <w:tc>
          <w:tcPr>
            <w:tcW w:w="4788" w:type="dxa"/>
            <w:gridSpan w:val="3"/>
            <w:tcBorders>
              <w:bottom w:val="single" w:sz="4" w:space="0" w:color="auto"/>
            </w:tcBorders>
          </w:tcPr>
          <w:p w14:paraId="31527FAD" w14:textId="77777777" w:rsidR="00C04F2A" w:rsidRPr="007C5EBB" w:rsidRDefault="00C04F2A" w:rsidP="004263BA">
            <w:pPr>
              <w:spacing w:line="276" w:lineRule="auto"/>
              <w:ind w:left="720"/>
              <w:jc w:val="center"/>
              <w:rPr>
                <w:rFonts w:ascii="Times New Roman" w:hAnsi="Times New Roman" w:cs="Times New Roman"/>
                <w:sz w:val="20"/>
                <w:szCs w:val="20"/>
              </w:rPr>
            </w:pPr>
          </w:p>
        </w:tc>
      </w:tr>
    </w:tbl>
    <w:p w14:paraId="6C3CFE5A" w14:textId="4D04BBB0" w:rsidR="00C04F2A" w:rsidRPr="007C5EBB" w:rsidRDefault="00C04F2A" w:rsidP="00AD73F4">
      <w:pPr>
        <w:spacing w:line="480" w:lineRule="auto"/>
        <w:rPr>
          <w:rFonts w:ascii="Times New Roman" w:hAnsi="Times New Roman" w:cs="Times New Roman"/>
          <w:sz w:val="20"/>
          <w:szCs w:val="20"/>
        </w:rPr>
      </w:pPr>
      <w:r w:rsidRPr="007C5EBB">
        <w:rPr>
          <w:rFonts w:ascii="Times New Roman" w:hAnsi="Times New Roman" w:cs="Times New Roman"/>
          <w:sz w:val="20"/>
          <w:szCs w:val="20"/>
        </w:rPr>
        <w:t>Note: N=212; Total may not equal to 100% due to missing data</w:t>
      </w:r>
      <w:r w:rsidRPr="007C5EBB">
        <w:rPr>
          <w:rFonts w:ascii="Times New Roman" w:hAnsi="Times New Roman" w:cs="Times New Roman"/>
          <w:sz w:val="20"/>
          <w:szCs w:val="20"/>
        </w:rPr>
        <w:tab/>
      </w:r>
    </w:p>
    <w:p w14:paraId="1A2F0A4A" w14:textId="77777777" w:rsidR="00BA3E5F" w:rsidRDefault="00BA3E5F" w:rsidP="00F9125A">
      <w:pPr>
        <w:rPr>
          <w:rFonts w:ascii="Times New Roman" w:hAnsi="Times New Roman" w:cs="Times New Roman"/>
          <w:sz w:val="20"/>
          <w:szCs w:val="20"/>
        </w:rPr>
        <w:sectPr w:rsidR="00BA3E5F" w:rsidSect="007C5EBB">
          <w:type w:val="continuous"/>
          <w:pgSz w:w="12240" w:h="15840"/>
          <w:pgMar w:top="1440" w:right="1440" w:bottom="1440" w:left="1440" w:header="720" w:footer="720" w:gutter="0"/>
          <w:cols w:space="720"/>
          <w:docGrid w:linePitch="360"/>
        </w:sectPr>
      </w:pPr>
    </w:p>
    <w:p w14:paraId="1FB98045" w14:textId="2C9E3FB9" w:rsidR="00F9125A" w:rsidRDefault="0086095C" w:rsidP="00F9125A">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F9125A" w:rsidRPr="007C5EBB">
        <w:rPr>
          <w:rFonts w:ascii="Times New Roman" w:hAnsi="Times New Roman" w:cs="Times New Roman"/>
          <w:sz w:val="20"/>
          <w:szCs w:val="20"/>
        </w:rPr>
        <w:t>Children o</w:t>
      </w:r>
      <w:r w:rsidR="005C322D" w:rsidRPr="007C5EBB">
        <w:rPr>
          <w:rFonts w:ascii="Times New Roman" w:hAnsi="Times New Roman" w:cs="Times New Roman"/>
          <w:sz w:val="20"/>
          <w:szCs w:val="20"/>
        </w:rPr>
        <w:t>f parents in the non-participating</w:t>
      </w:r>
      <w:r w:rsidR="00F9125A" w:rsidRPr="007C5EBB">
        <w:rPr>
          <w:rFonts w:ascii="Times New Roman" w:hAnsi="Times New Roman" w:cs="Times New Roman"/>
          <w:sz w:val="20"/>
          <w:szCs w:val="20"/>
        </w:rPr>
        <w:t xml:space="preserve"> group had less untreated decay (N</w:t>
      </w:r>
      <w:r w:rsidR="001A536B" w:rsidRPr="007C5EBB">
        <w:rPr>
          <w:rFonts w:ascii="Times New Roman" w:hAnsi="Times New Roman" w:cs="Times New Roman"/>
          <w:sz w:val="20"/>
          <w:szCs w:val="20"/>
        </w:rPr>
        <w:t>=54</w:t>
      </w:r>
      <w:r w:rsidR="007449BB" w:rsidRPr="007C5EBB">
        <w:rPr>
          <w:rFonts w:ascii="Times New Roman" w:hAnsi="Times New Roman" w:cs="Times New Roman"/>
          <w:sz w:val="20"/>
          <w:szCs w:val="20"/>
        </w:rPr>
        <w:t>, 43.9</w:t>
      </w:r>
      <w:r w:rsidR="00F9125A" w:rsidRPr="007C5EBB">
        <w:rPr>
          <w:rFonts w:ascii="Times New Roman" w:hAnsi="Times New Roman" w:cs="Times New Roman"/>
          <w:sz w:val="20"/>
          <w:szCs w:val="20"/>
        </w:rPr>
        <w:t>%) when compared to children of parents in the participating groups (N</w:t>
      </w:r>
      <w:r w:rsidR="001A536B" w:rsidRPr="007C5EBB">
        <w:rPr>
          <w:rFonts w:ascii="Times New Roman" w:hAnsi="Times New Roman" w:cs="Times New Roman"/>
          <w:sz w:val="20"/>
          <w:szCs w:val="20"/>
        </w:rPr>
        <w:t>=69</w:t>
      </w:r>
      <w:r w:rsidR="00F9125A" w:rsidRPr="007C5EBB">
        <w:rPr>
          <w:rFonts w:ascii="Times New Roman" w:hAnsi="Times New Roman" w:cs="Times New Roman"/>
          <w:sz w:val="20"/>
          <w:szCs w:val="20"/>
        </w:rPr>
        <w:t>,</w:t>
      </w:r>
      <w:r w:rsidR="007449BB" w:rsidRPr="007C5EBB">
        <w:rPr>
          <w:rFonts w:ascii="Times New Roman" w:hAnsi="Times New Roman" w:cs="Times New Roman"/>
          <w:sz w:val="20"/>
          <w:szCs w:val="20"/>
        </w:rPr>
        <w:t xml:space="preserve"> 56.1</w:t>
      </w:r>
      <w:r w:rsidR="00F9125A" w:rsidRPr="007C5EBB">
        <w:rPr>
          <w:rFonts w:ascii="Times New Roman" w:hAnsi="Times New Roman" w:cs="Times New Roman"/>
          <w:sz w:val="20"/>
          <w:szCs w:val="20"/>
        </w:rPr>
        <w:t xml:space="preserve">%) </w:t>
      </w:r>
      <w:proofErr w:type="gramStart"/>
      <w:r w:rsidR="00F9125A" w:rsidRPr="007C5EBB">
        <w:rPr>
          <w:rFonts w:ascii="Times New Roman" w:hAnsi="Times New Roman" w:cs="Times New Roman"/>
          <w:sz w:val="20"/>
          <w:szCs w:val="20"/>
        </w:rPr>
        <w:t>[Figure 1].</w:t>
      </w:r>
      <w:proofErr w:type="gramEnd"/>
      <w:r w:rsidR="00F9125A" w:rsidRPr="007C5EBB">
        <w:rPr>
          <w:rFonts w:ascii="Times New Roman" w:hAnsi="Times New Roman" w:cs="Times New Roman"/>
          <w:sz w:val="20"/>
          <w:szCs w:val="20"/>
        </w:rPr>
        <w:t xml:space="preserve">  Children o</w:t>
      </w:r>
      <w:r w:rsidR="007449BB" w:rsidRPr="007C5EBB">
        <w:rPr>
          <w:rFonts w:ascii="Times New Roman" w:hAnsi="Times New Roman" w:cs="Times New Roman"/>
          <w:sz w:val="20"/>
          <w:szCs w:val="20"/>
        </w:rPr>
        <w:t>f parents in the participating</w:t>
      </w:r>
      <w:r w:rsidR="00F9125A" w:rsidRPr="007C5EBB">
        <w:rPr>
          <w:rFonts w:ascii="Times New Roman" w:hAnsi="Times New Roman" w:cs="Times New Roman"/>
          <w:sz w:val="20"/>
          <w:szCs w:val="20"/>
        </w:rPr>
        <w:t xml:space="preserve"> group also had </w:t>
      </w:r>
      <w:r w:rsidR="007449BB" w:rsidRPr="007C5EBB">
        <w:rPr>
          <w:rFonts w:ascii="Times New Roman" w:hAnsi="Times New Roman" w:cs="Times New Roman"/>
          <w:sz w:val="20"/>
          <w:szCs w:val="20"/>
        </w:rPr>
        <w:t xml:space="preserve">slightly </w:t>
      </w:r>
      <w:r w:rsidR="00F9125A" w:rsidRPr="007C5EBB">
        <w:rPr>
          <w:rFonts w:ascii="Times New Roman" w:hAnsi="Times New Roman" w:cs="Times New Roman"/>
          <w:sz w:val="20"/>
          <w:szCs w:val="20"/>
        </w:rPr>
        <w:t>more urgent care</w:t>
      </w:r>
      <w:r w:rsidR="001C716A" w:rsidRPr="007C5EBB">
        <w:rPr>
          <w:rFonts w:ascii="Times New Roman" w:hAnsi="Times New Roman" w:cs="Times New Roman"/>
          <w:sz w:val="20"/>
          <w:szCs w:val="20"/>
        </w:rPr>
        <w:t xml:space="preserve"> (N=16, </w:t>
      </w:r>
      <w:r w:rsidR="00307264" w:rsidRPr="007C5EBB">
        <w:rPr>
          <w:rFonts w:ascii="Times New Roman" w:hAnsi="Times New Roman" w:cs="Times New Roman"/>
          <w:sz w:val="20"/>
          <w:szCs w:val="20"/>
        </w:rPr>
        <w:t>51.6</w:t>
      </w:r>
      <w:r w:rsidR="003C2C29" w:rsidRPr="007C5EBB">
        <w:rPr>
          <w:rFonts w:ascii="Times New Roman" w:hAnsi="Times New Roman" w:cs="Times New Roman"/>
          <w:sz w:val="20"/>
          <w:szCs w:val="20"/>
        </w:rPr>
        <w:t>%)</w:t>
      </w:r>
      <w:r w:rsidR="00F9125A" w:rsidRPr="007C5EBB">
        <w:rPr>
          <w:rFonts w:ascii="Times New Roman" w:hAnsi="Times New Roman" w:cs="Times New Roman"/>
          <w:sz w:val="20"/>
          <w:szCs w:val="20"/>
        </w:rPr>
        <w:t xml:space="preserve"> </w:t>
      </w:r>
      <w:r w:rsidR="003C2C29" w:rsidRPr="007C5EBB">
        <w:rPr>
          <w:rFonts w:ascii="Times New Roman" w:hAnsi="Times New Roman" w:cs="Times New Roman"/>
          <w:sz w:val="20"/>
          <w:szCs w:val="20"/>
        </w:rPr>
        <w:t xml:space="preserve">and early dental </w:t>
      </w:r>
      <w:r w:rsidR="00C97B84" w:rsidRPr="007C5EBB">
        <w:rPr>
          <w:rFonts w:ascii="Times New Roman" w:hAnsi="Times New Roman" w:cs="Times New Roman"/>
          <w:sz w:val="20"/>
          <w:szCs w:val="20"/>
        </w:rPr>
        <w:t>care</w:t>
      </w:r>
      <w:r w:rsidR="00F9125A" w:rsidRPr="007C5EBB">
        <w:rPr>
          <w:rFonts w:ascii="Times New Roman" w:hAnsi="Times New Roman" w:cs="Times New Roman"/>
          <w:sz w:val="20"/>
          <w:szCs w:val="20"/>
        </w:rPr>
        <w:t xml:space="preserve"> (N</w:t>
      </w:r>
      <w:r w:rsidR="007449BB" w:rsidRPr="007C5EBB">
        <w:rPr>
          <w:rFonts w:ascii="Times New Roman" w:hAnsi="Times New Roman" w:cs="Times New Roman"/>
          <w:sz w:val="20"/>
          <w:szCs w:val="20"/>
        </w:rPr>
        <w:t>=</w:t>
      </w:r>
      <w:r w:rsidR="001C716A" w:rsidRPr="007C5EBB">
        <w:rPr>
          <w:rFonts w:ascii="Times New Roman" w:hAnsi="Times New Roman" w:cs="Times New Roman"/>
          <w:sz w:val="20"/>
          <w:szCs w:val="20"/>
        </w:rPr>
        <w:t>54</w:t>
      </w:r>
      <w:r w:rsidR="00F9125A" w:rsidRPr="007C5EBB">
        <w:rPr>
          <w:rFonts w:ascii="Times New Roman" w:hAnsi="Times New Roman" w:cs="Times New Roman"/>
          <w:sz w:val="20"/>
          <w:szCs w:val="20"/>
        </w:rPr>
        <w:t>,</w:t>
      </w:r>
      <w:r w:rsidR="007449BB" w:rsidRPr="007C5EBB">
        <w:rPr>
          <w:rFonts w:ascii="Times New Roman" w:hAnsi="Times New Roman" w:cs="Times New Roman"/>
          <w:sz w:val="20"/>
          <w:szCs w:val="20"/>
        </w:rPr>
        <w:t xml:space="preserve"> </w:t>
      </w:r>
      <w:r w:rsidR="00C23A35" w:rsidRPr="007C5EBB">
        <w:rPr>
          <w:rFonts w:ascii="Times New Roman" w:hAnsi="Times New Roman" w:cs="Times New Roman"/>
          <w:sz w:val="20"/>
          <w:szCs w:val="20"/>
        </w:rPr>
        <w:t>55.7</w:t>
      </w:r>
      <w:r w:rsidR="00F9125A" w:rsidRPr="007C5EBB">
        <w:rPr>
          <w:rFonts w:ascii="Times New Roman" w:hAnsi="Times New Roman" w:cs="Times New Roman"/>
          <w:sz w:val="20"/>
          <w:szCs w:val="20"/>
        </w:rPr>
        <w:t xml:space="preserve">%) than the </w:t>
      </w:r>
      <w:r w:rsidR="007449BB" w:rsidRPr="007C5EBB">
        <w:rPr>
          <w:rFonts w:ascii="Times New Roman" w:hAnsi="Times New Roman" w:cs="Times New Roman"/>
          <w:sz w:val="20"/>
          <w:szCs w:val="20"/>
        </w:rPr>
        <w:t>non-</w:t>
      </w:r>
      <w:r w:rsidR="00F9125A" w:rsidRPr="007C5EBB">
        <w:rPr>
          <w:rFonts w:ascii="Times New Roman" w:hAnsi="Times New Roman" w:cs="Times New Roman"/>
          <w:sz w:val="20"/>
          <w:szCs w:val="20"/>
        </w:rPr>
        <w:t xml:space="preserve">participating group </w:t>
      </w:r>
      <w:r w:rsidR="00F9125A" w:rsidRPr="007C5EBB">
        <w:rPr>
          <w:rFonts w:ascii="Times New Roman" w:hAnsi="Times New Roman" w:cs="Times New Roman"/>
          <w:sz w:val="20"/>
          <w:szCs w:val="20"/>
        </w:rPr>
        <w:lastRenderedPageBreak/>
        <w:t>(N</w:t>
      </w:r>
      <w:r w:rsidR="007449BB" w:rsidRPr="007C5EBB">
        <w:rPr>
          <w:rFonts w:ascii="Times New Roman" w:hAnsi="Times New Roman" w:cs="Times New Roman"/>
          <w:sz w:val="20"/>
          <w:szCs w:val="20"/>
        </w:rPr>
        <w:t>=15</w:t>
      </w:r>
      <w:r w:rsidR="00F9125A" w:rsidRPr="007C5EBB">
        <w:rPr>
          <w:rFonts w:ascii="Times New Roman" w:hAnsi="Times New Roman" w:cs="Times New Roman"/>
          <w:sz w:val="20"/>
          <w:szCs w:val="20"/>
        </w:rPr>
        <w:t>,</w:t>
      </w:r>
      <w:r w:rsidR="007449BB" w:rsidRPr="007C5EBB">
        <w:rPr>
          <w:rFonts w:ascii="Times New Roman" w:hAnsi="Times New Roman" w:cs="Times New Roman"/>
          <w:sz w:val="20"/>
          <w:szCs w:val="20"/>
        </w:rPr>
        <w:t xml:space="preserve"> </w:t>
      </w:r>
      <w:r w:rsidR="00307264" w:rsidRPr="007C5EBB">
        <w:rPr>
          <w:rFonts w:ascii="Times New Roman" w:hAnsi="Times New Roman" w:cs="Times New Roman"/>
          <w:sz w:val="20"/>
          <w:szCs w:val="20"/>
        </w:rPr>
        <w:t>48.4</w:t>
      </w:r>
      <w:r w:rsidR="00F9125A" w:rsidRPr="007C5EBB">
        <w:rPr>
          <w:rFonts w:ascii="Times New Roman" w:hAnsi="Times New Roman" w:cs="Times New Roman"/>
          <w:sz w:val="20"/>
          <w:szCs w:val="20"/>
        </w:rPr>
        <w:t>%</w:t>
      </w:r>
      <w:r w:rsidR="00C97B84" w:rsidRPr="007C5EBB">
        <w:rPr>
          <w:rFonts w:ascii="Times New Roman" w:hAnsi="Times New Roman" w:cs="Times New Roman"/>
          <w:sz w:val="20"/>
          <w:szCs w:val="20"/>
        </w:rPr>
        <w:t xml:space="preserve"> urgent ca</w:t>
      </w:r>
      <w:r w:rsidR="00C23A35" w:rsidRPr="007C5EBB">
        <w:rPr>
          <w:rFonts w:ascii="Times New Roman" w:hAnsi="Times New Roman" w:cs="Times New Roman"/>
          <w:sz w:val="20"/>
          <w:szCs w:val="20"/>
        </w:rPr>
        <w:t>re; N=43, 44.3</w:t>
      </w:r>
      <w:r w:rsidR="00C97B84" w:rsidRPr="007C5EBB">
        <w:rPr>
          <w:rFonts w:ascii="Times New Roman" w:hAnsi="Times New Roman" w:cs="Times New Roman"/>
          <w:sz w:val="20"/>
          <w:szCs w:val="20"/>
        </w:rPr>
        <w:t>% early dental care</w:t>
      </w:r>
      <w:r w:rsidR="00F9125A" w:rsidRPr="007C5EBB">
        <w:rPr>
          <w:rFonts w:ascii="Times New Roman" w:hAnsi="Times New Roman" w:cs="Times New Roman"/>
          <w:sz w:val="20"/>
          <w:szCs w:val="20"/>
        </w:rPr>
        <w:t xml:space="preserve">) [Figure 2]. </w:t>
      </w:r>
      <w:r w:rsidR="00360629" w:rsidRPr="007C5EBB">
        <w:rPr>
          <w:rFonts w:ascii="Times New Roman" w:hAnsi="Times New Roman" w:cs="Times New Roman"/>
          <w:sz w:val="20"/>
          <w:szCs w:val="20"/>
        </w:rPr>
        <w:t>A Chi-Square test was conducted to look at any associations between untreated decay and participation in WIC or Head Start. Findings reflect that there is a positive association between these va</w:t>
      </w:r>
      <w:r w:rsidR="00062D2E" w:rsidRPr="007C5EBB">
        <w:rPr>
          <w:rFonts w:ascii="Times New Roman" w:hAnsi="Times New Roman" w:cs="Times New Roman"/>
          <w:sz w:val="20"/>
          <w:szCs w:val="20"/>
        </w:rPr>
        <w:t xml:space="preserve">riables (Chi-Square 217.38, </w:t>
      </w:r>
      <w:proofErr w:type="spellStart"/>
      <w:r w:rsidR="00062D2E" w:rsidRPr="007C5EBB">
        <w:rPr>
          <w:rFonts w:ascii="Times New Roman" w:hAnsi="Times New Roman" w:cs="Times New Roman"/>
          <w:sz w:val="20"/>
          <w:szCs w:val="20"/>
        </w:rPr>
        <w:t>df</w:t>
      </w:r>
      <w:proofErr w:type="spellEnd"/>
      <w:r w:rsidR="00062D2E" w:rsidRPr="007C5EBB">
        <w:rPr>
          <w:rFonts w:ascii="Times New Roman" w:hAnsi="Times New Roman" w:cs="Times New Roman"/>
          <w:sz w:val="20"/>
          <w:szCs w:val="20"/>
        </w:rPr>
        <w:t>=</w:t>
      </w:r>
      <w:r w:rsidR="00873EBD" w:rsidRPr="007C5EBB">
        <w:rPr>
          <w:rFonts w:ascii="Times New Roman" w:hAnsi="Times New Roman" w:cs="Times New Roman"/>
          <w:sz w:val="20"/>
          <w:szCs w:val="20"/>
        </w:rPr>
        <w:t>4, p=</w:t>
      </w:r>
      <w:r w:rsidR="00360629" w:rsidRPr="007C5EBB">
        <w:rPr>
          <w:rFonts w:ascii="Times New Roman" w:hAnsi="Times New Roman" w:cs="Times New Roman"/>
          <w:sz w:val="20"/>
          <w:szCs w:val="20"/>
        </w:rPr>
        <w:t>0.000</w:t>
      </w:r>
      <w:r w:rsidR="00873EBD" w:rsidRPr="007C5EBB">
        <w:rPr>
          <w:rFonts w:ascii="Times New Roman" w:hAnsi="Times New Roman" w:cs="Times New Roman"/>
          <w:sz w:val="20"/>
          <w:szCs w:val="20"/>
        </w:rPr>
        <w:t>5</w:t>
      </w:r>
      <w:r w:rsidR="00360629" w:rsidRPr="007C5EBB">
        <w:rPr>
          <w:rFonts w:ascii="Times New Roman" w:hAnsi="Times New Roman" w:cs="Times New Roman"/>
          <w:sz w:val="20"/>
          <w:szCs w:val="20"/>
        </w:rPr>
        <w:t>).</w:t>
      </w:r>
    </w:p>
    <w:p w14:paraId="40C66D1C" w14:textId="77777777" w:rsidR="00E57906" w:rsidRDefault="00E57906" w:rsidP="00F9125A">
      <w:pPr>
        <w:rPr>
          <w:rFonts w:ascii="Times New Roman" w:hAnsi="Times New Roman" w:cs="Times New Roman"/>
          <w:sz w:val="20"/>
          <w:szCs w:val="20"/>
        </w:rPr>
        <w:sectPr w:rsidR="00E57906" w:rsidSect="00E57906">
          <w:type w:val="continuous"/>
          <w:pgSz w:w="12240" w:h="15840"/>
          <w:pgMar w:top="1440" w:right="1440" w:bottom="1440" w:left="1440" w:header="720" w:footer="720" w:gutter="0"/>
          <w:cols w:num="2" w:space="720"/>
          <w:docGrid w:linePitch="360"/>
        </w:sectPr>
      </w:pPr>
    </w:p>
    <w:p w14:paraId="7EE3EF6C" w14:textId="2CEDFB17" w:rsidR="00BA3E5F" w:rsidRDefault="00BA3E5F" w:rsidP="00F9125A">
      <w:pPr>
        <w:rPr>
          <w:rFonts w:ascii="Times New Roman" w:hAnsi="Times New Roman" w:cs="Times New Roman"/>
          <w:sz w:val="20"/>
          <w:szCs w:val="20"/>
        </w:rPr>
      </w:pPr>
    </w:p>
    <w:p w14:paraId="0964FACC" w14:textId="77777777" w:rsidR="00BA3E5F" w:rsidRDefault="00BA3E5F" w:rsidP="00F9125A">
      <w:pPr>
        <w:rPr>
          <w:rFonts w:ascii="Times New Roman" w:hAnsi="Times New Roman" w:cs="Times New Roman"/>
          <w:sz w:val="20"/>
          <w:szCs w:val="20"/>
        </w:rPr>
      </w:pPr>
    </w:p>
    <w:p w14:paraId="01F621A1" w14:textId="77777777" w:rsidR="00BA3E5F" w:rsidRDefault="00BA3E5F" w:rsidP="00F9125A">
      <w:pPr>
        <w:rPr>
          <w:rFonts w:ascii="Times New Roman" w:hAnsi="Times New Roman" w:cs="Times New Roman"/>
          <w:sz w:val="20"/>
          <w:szCs w:val="20"/>
        </w:rPr>
      </w:pPr>
    </w:p>
    <w:p w14:paraId="5A74D5D5" w14:textId="77777777" w:rsidR="00BA3E5F" w:rsidRDefault="00BA3E5F" w:rsidP="00F9125A">
      <w:pPr>
        <w:rPr>
          <w:rFonts w:ascii="Times New Roman" w:hAnsi="Times New Roman" w:cs="Times New Roman"/>
          <w:sz w:val="20"/>
          <w:szCs w:val="20"/>
        </w:rPr>
      </w:pPr>
    </w:p>
    <w:p w14:paraId="4F3C3CFF" w14:textId="77777777" w:rsidR="00BA3E5F" w:rsidRDefault="00BA3E5F" w:rsidP="00F9125A">
      <w:pPr>
        <w:rPr>
          <w:rFonts w:ascii="Times New Roman" w:hAnsi="Times New Roman" w:cs="Times New Roman"/>
          <w:sz w:val="20"/>
          <w:szCs w:val="20"/>
        </w:rPr>
      </w:pPr>
    </w:p>
    <w:p w14:paraId="54FCF3B4" w14:textId="77777777" w:rsidR="00BA3E5F" w:rsidRDefault="00BA3E5F" w:rsidP="00F9125A">
      <w:pPr>
        <w:rPr>
          <w:rFonts w:ascii="Times New Roman" w:hAnsi="Times New Roman" w:cs="Times New Roman"/>
          <w:sz w:val="20"/>
          <w:szCs w:val="20"/>
        </w:rPr>
      </w:pPr>
    </w:p>
    <w:p w14:paraId="071E1DE8" w14:textId="77777777" w:rsidR="00BA3E5F" w:rsidRDefault="00BA3E5F" w:rsidP="00F9125A">
      <w:pPr>
        <w:rPr>
          <w:rFonts w:ascii="Times New Roman" w:hAnsi="Times New Roman" w:cs="Times New Roman"/>
          <w:sz w:val="20"/>
          <w:szCs w:val="20"/>
        </w:rPr>
      </w:pPr>
    </w:p>
    <w:p w14:paraId="296DF4C5" w14:textId="77777777" w:rsidR="00BA3E5F" w:rsidRDefault="00BA3E5F" w:rsidP="00F9125A">
      <w:pPr>
        <w:rPr>
          <w:rFonts w:ascii="Times New Roman" w:hAnsi="Times New Roman" w:cs="Times New Roman"/>
          <w:sz w:val="20"/>
          <w:szCs w:val="20"/>
        </w:rPr>
      </w:pPr>
    </w:p>
    <w:p w14:paraId="7A53F8D6" w14:textId="77777777" w:rsidR="00BA3E5F" w:rsidRDefault="00BA3E5F" w:rsidP="00F9125A">
      <w:pPr>
        <w:rPr>
          <w:rFonts w:ascii="Times New Roman" w:hAnsi="Times New Roman" w:cs="Times New Roman"/>
          <w:sz w:val="20"/>
          <w:szCs w:val="20"/>
        </w:rPr>
      </w:pPr>
    </w:p>
    <w:p w14:paraId="027E30B1" w14:textId="77777777" w:rsidR="00BA3E5F" w:rsidRDefault="00BA3E5F" w:rsidP="00F9125A">
      <w:pPr>
        <w:rPr>
          <w:rFonts w:ascii="Times New Roman" w:hAnsi="Times New Roman" w:cs="Times New Roman"/>
          <w:sz w:val="20"/>
          <w:szCs w:val="20"/>
        </w:rPr>
      </w:pPr>
    </w:p>
    <w:p w14:paraId="3E1EAF06" w14:textId="77777777" w:rsidR="00BA3E5F" w:rsidRDefault="00BA3E5F" w:rsidP="00F9125A">
      <w:pPr>
        <w:rPr>
          <w:rFonts w:ascii="Times New Roman" w:hAnsi="Times New Roman" w:cs="Times New Roman"/>
          <w:sz w:val="20"/>
          <w:szCs w:val="20"/>
        </w:rPr>
      </w:pPr>
    </w:p>
    <w:p w14:paraId="3A2D3FEA" w14:textId="77777777" w:rsidR="00BA3E5F" w:rsidRDefault="00BA3E5F" w:rsidP="00F9125A">
      <w:pPr>
        <w:rPr>
          <w:rFonts w:ascii="Times New Roman" w:hAnsi="Times New Roman" w:cs="Times New Roman"/>
          <w:sz w:val="20"/>
          <w:szCs w:val="20"/>
        </w:rPr>
      </w:pPr>
    </w:p>
    <w:p w14:paraId="74F9D077" w14:textId="77777777" w:rsidR="00BA3E5F" w:rsidRDefault="00BA3E5F" w:rsidP="00F9125A">
      <w:pPr>
        <w:rPr>
          <w:rFonts w:ascii="Times New Roman" w:hAnsi="Times New Roman" w:cs="Times New Roman"/>
          <w:sz w:val="20"/>
          <w:szCs w:val="20"/>
        </w:rPr>
      </w:pPr>
    </w:p>
    <w:p w14:paraId="65B9B8F6" w14:textId="77777777" w:rsidR="00E57906" w:rsidRDefault="00E57906" w:rsidP="00F9125A">
      <w:pPr>
        <w:rPr>
          <w:rFonts w:ascii="Times New Roman" w:hAnsi="Times New Roman" w:cs="Times New Roman"/>
          <w:sz w:val="20"/>
          <w:szCs w:val="20"/>
        </w:rPr>
        <w:sectPr w:rsidR="00E57906" w:rsidSect="00E57906">
          <w:type w:val="continuous"/>
          <w:pgSz w:w="12240" w:h="15840"/>
          <w:pgMar w:top="1440" w:right="1440" w:bottom="1440" w:left="1440" w:header="720" w:footer="720" w:gutter="0"/>
          <w:cols w:num="2" w:space="720"/>
          <w:docGrid w:linePitch="360"/>
        </w:sectPr>
      </w:pPr>
    </w:p>
    <w:p w14:paraId="2EBF6AFB" w14:textId="390A9317" w:rsidR="00BA3E5F" w:rsidRDefault="00BA3E5F" w:rsidP="00F9125A">
      <w:pPr>
        <w:rPr>
          <w:rFonts w:ascii="Times New Roman" w:hAnsi="Times New Roman" w:cs="Times New Roman"/>
          <w:sz w:val="20"/>
          <w:szCs w:val="20"/>
        </w:rPr>
      </w:pPr>
    </w:p>
    <w:p w14:paraId="0077DB81" w14:textId="77777777" w:rsidR="00BA3E5F" w:rsidRDefault="00BA3E5F" w:rsidP="00F9125A">
      <w:pPr>
        <w:rPr>
          <w:rFonts w:ascii="Times New Roman" w:hAnsi="Times New Roman" w:cs="Times New Roman"/>
          <w:sz w:val="20"/>
          <w:szCs w:val="20"/>
        </w:rPr>
      </w:pPr>
    </w:p>
    <w:p w14:paraId="112C9FCF" w14:textId="77777777" w:rsidR="00BA3E5F" w:rsidRDefault="00BA3E5F" w:rsidP="00F9125A">
      <w:pPr>
        <w:rPr>
          <w:rFonts w:ascii="Times New Roman" w:hAnsi="Times New Roman" w:cs="Times New Roman"/>
          <w:sz w:val="20"/>
          <w:szCs w:val="20"/>
        </w:rPr>
      </w:pPr>
    </w:p>
    <w:p w14:paraId="77FB87A9" w14:textId="77777777" w:rsidR="00BA3E5F" w:rsidRDefault="00BA3E5F" w:rsidP="00F9125A">
      <w:pPr>
        <w:rPr>
          <w:rFonts w:ascii="Times New Roman" w:hAnsi="Times New Roman" w:cs="Times New Roman"/>
          <w:sz w:val="20"/>
          <w:szCs w:val="20"/>
        </w:rPr>
      </w:pPr>
    </w:p>
    <w:p w14:paraId="07906455" w14:textId="77777777" w:rsidR="00BA3E5F" w:rsidRDefault="00BA3E5F" w:rsidP="00F9125A">
      <w:pPr>
        <w:rPr>
          <w:rFonts w:ascii="Times New Roman" w:hAnsi="Times New Roman" w:cs="Times New Roman"/>
          <w:sz w:val="20"/>
          <w:szCs w:val="20"/>
        </w:rPr>
      </w:pPr>
    </w:p>
    <w:p w14:paraId="4965CB66" w14:textId="77777777" w:rsidR="00BA3E5F" w:rsidRDefault="00BA3E5F" w:rsidP="00F9125A">
      <w:pPr>
        <w:rPr>
          <w:rFonts w:ascii="Times New Roman" w:hAnsi="Times New Roman" w:cs="Times New Roman"/>
          <w:sz w:val="20"/>
          <w:szCs w:val="20"/>
        </w:rPr>
      </w:pPr>
    </w:p>
    <w:p w14:paraId="4A3075AF" w14:textId="77777777" w:rsidR="00E57906" w:rsidRDefault="00E57906" w:rsidP="00F9125A">
      <w:pPr>
        <w:rPr>
          <w:rFonts w:ascii="Times New Roman" w:hAnsi="Times New Roman" w:cs="Times New Roman"/>
          <w:sz w:val="20"/>
          <w:szCs w:val="20"/>
        </w:rPr>
      </w:pPr>
    </w:p>
    <w:p w14:paraId="401F9C81" w14:textId="77777777" w:rsidR="00E57906" w:rsidRDefault="00E57906" w:rsidP="00F9125A">
      <w:pPr>
        <w:rPr>
          <w:rFonts w:ascii="Times New Roman" w:hAnsi="Times New Roman" w:cs="Times New Roman"/>
          <w:sz w:val="20"/>
          <w:szCs w:val="20"/>
        </w:rPr>
      </w:pPr>
    </w:p>
    <w:p w14:paraId="17C3EA37" w14:textId="77777777" w:rsidR="00E57906" w:rsidRDefault="00E57906" w:rsidP="00F9125A">
      <w:pPr>
        <w:rPr>
          <w:rFonts w:ascii="Times New Roman" w:hAnsi="Times New Roman" w:cs="Times New Roman"/>
          <w:sz w:val="20"/>
          <w:szCs w:val="20"/>
        </w:rPr>
      </w:pPr>
    </w:p>
    <w:p w14:paraId="51FD024B" w14:textId="77777777" w:rsidR="00E57906" w:rsidRDefault="00E57906" w:rsidP="00F9125A">
      <w:pPr>
        <w:rPr>
          <w:rFonts w:ascii="Times New Roman" w:hAnsi="Times New Roman" w:cs="Times New Roman"/>
          <w:sz w:val="20"/>
          <w:szCs w:val="20"/>
        </w:rPr>
      </w:pPr>
    </w:p>
    <w:p w14:paraId="724DC791" w14:textId="77777777" w:rsidR="00E57906" w:rsidRDefault="00E57906" w:rsidP="00F9125A">
      <w:pPr>
        <w:rPr>
          <w:rFonts w:ascii="Times New Roman" w:hAnsi="Times New Roman" w:cs="Times New Roman"/>
          <w:sz w:val="20"/>
          <w:szCs w:val="20"/>
        </w:rPr>
      </w:pPr>
    </w:p>
    <w:p w14:paraId="6138DC92" w14:textId="77777777" w:rsidR="00BA3E5F" w:rsidRPr="007C5EBB" w:rsidRDefault="00BA3E5F" w:rsidP="00F9125A">
      <w:pPr>
        <w:rPr>
          <w:rFonts w:ascii="Times New Roman" w:hAnsi="Times New Roman" w:cs="Times New Roman"/>
          <w:sz w:val="20"/>
          <w:szCs w:val="20"/>
        </w:rPr>
      </w:pPr>
    </w:p>
    <w:p w14:paraId="6CC3CA04" w14:textId="77777777" w:rsidR="002448B3" w:rsidRPr="007C5EBB" w:rsidRDefault="002448B3" w:rsidP="004D59A5">
      <w:pPr>
        <w:rPr>
          <w:rFonts w:ascii="Times New Roman" w:hAnsi="Times New Roman" w:cs="Times New Roman"/>
          <w:sz w:val="20"/>
          <w:szCs w:val="20"/>
        </w:rPr>
      </w:pPr>
    </w:p>
    <w:p w14:paraId="3DA0CDD7" w14:textId="77777777" w:rsidR="00BA3E5F" w:rsidRDefault="00BA3E5F" w:rsidP="004A4F18">
      <w:pPr>
        <w:rPr>
          <w:rFonts w:ascii="Times New Roman" w:hAnsi="Times New Roman" w:cs="Times New Roman"/>
          <w:b/>
          <w:sz w:val="20"/>
          <w:szCs w:val="20"/>
        </w:rPr>
        <w:sectPr w:rsidR="00BA3E5F" w:rsidSect="00BA3E5F">
          <w:type w:val="continuous"/>
          <w:pgSz w:w="12240" w:h="15840"/>
          <w:pgMar w:top="1440" w:right="1440" w:bottom="1440" w:left="1440" w:header="720" w:footer="720" w:gutter="0"/>
          <w:cols w:num="2" w:space="720"/>
          <w:docGrid w:linePitch="360"/>
        </w:sectPr>
      </w:pPr>
    </w:p>
    <w:p w14:paraId="00F754FE" w14:textId="19AA8443" w:rsidR="004A4F18" w:rsidRPr="007C5EBB" w:rsidRDefault="00C631FD" w:rsidP="004A4F18">
      <w:pPr>
        <w:rPr>
          <w:rFonts w:ascii="Times New Roman" w:hAnsi="Times New Roman" w:cs="Times New Roman"/>
          <w:b/>
          <w:sz w:val="20"/>
          <w:szCs w:val="20"/>
        </w:rPr>
      </w:pPr>
      <w:r w:rsidRPr="007C5EBB">
        <w:rPr>
          <w:rFonts w:ascii="Times New Roman" w:hAnsi="Times New Roman" w:cs="Times New Roman"/>
          <w:b/>
          <w:sz w:val="20"/>
          <w:szCs w:val="20"/>
        </w:rPr>
        <w:lastRenderedPageBreak/>
        <w:t xml:space="preserve">Figure 1: </w:t>
      </w:r>
      <w:r w:rsidR="004A4F18" w:rsidRPr="007C5EBB">
        <w:rPr>
          <w:rFonts w:ascii="Times New Roman" w:hAnsi="Times New Roman" w:cs="Times New Roman"/>
          <w:b/>
          <w:sz w:val="20"/>
          <w:szCs w:val="20"/>
        </w:rPr>
        <w:t xml:space="preserve">Oral Health Status of Children of Parents Participating in WIC /Head Start or Neither Program </w:t>
      </w:r>
    </w:p>
    <w:p w14:paraId="1832D59D" w14:textId="77777777" w:rsidR="002448B3" w:rsidRPr="007C5EBB" w:rsidRDefault="002448B3" w:rsidP="004D59A5">
      <w:pPr>
        <w:rPr>
          <w:rFonts w:ascii="Times New Roman" w:hAnsi="Times New Roman" w:cs="Times New Roman"/>
          <w:sz w:val="20"/>
          <w:szCs w:val="20"/>
        </w:rPr>
      </w:pPr>
    </w:p>
    <w:p w14:paraId="03380EF1" w14:textId="5D72C90B" w:rsidR="00410A16" w:rsidRPr="00BA3E5F" w:rsidRDefault="00DB1ABD" w:rsidP="00BA3E5F">
      <w:pPr>
        <w:jc w:val="center"/>
        <w:rPr>
          <w:rFonts w:ascii="Times New Roman" w:hAnsi="Times New Roman" w:cs="Times New Roman"/>
          <w:sz w:val="20"/>
          <w:szCs w:val="20"/>
        </w:rPr>
      </w:pPr>
      <w:r w:rsidRPr="007C5EBB">
        <w:rPr>
          <w:noProof/>
          <w:sz w:val="20"/>
          <w:szCs w:val="20"/>
        </w:rPr>
        <w:drawing>
          <wp:inline distT="0" distB="0" distL="0" distR="0" wp14:anchorId="5942E0D1" wp14:editId="75B7AA42">
            <wp:extent cx="4556760" cy="2781300"/>
            <wp:effectExtent l="0" t="0" r="1524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8A1EA53" w14:textId="77777777" w:rsidR="00410A16" w:rsidRPr="007C5EBB" w:rsidRDefault="00410A16" w:rsidP="001D22E3">
      <w:pPr>
        <w:rPr>
          <w:rFonts w:ascii="Times New Roman" w:hAnsi="Times New Roman" w:cs="Times New Roman"/>
          <w:b/>
          <w:sz w:val="20"/>
          <w:szCs w:val="20"/>
        </w:rPr>
      </w:pPr>
    </w:p>
    <w:p w14:paraId="16A74388" w14:textId="77777777" w:rsidR="00410A16" w:rsidRPr="007C5EBB" w:rsidRDefault="00410A16" w:rsidP="001D22E3">
      <w:pPr>
        <w:rPr>
          <w:rFonts w:ascii="Times New Roman" w:hAnsi="Times New Roman" w:cs="Times New Roman"/>
          <w:b/>
          <w:sz w:val="20"/>
          <w:szCs w:val="20"/>
        </w:rPr>
      </w:pPr>
    </w:p>
    <w:p w14:paraId="29D66690" w14:textId="77777777" w:rsidR="00410A16" w:rsidRPr="007C5EBB" w:rsidRDefault="00410A16" w:rsidP="001D22E3">
      <w:pPr>
        <w:rPr>
          <w:rFonts w:ascii="Times New Roman" w:hAnsi="Times New Roman" w:cs="Times New Roman"/>
          <w:b/>
          <w:sz w:val="20"/>
          <w:szCs w:val="20"/>
        </w:rPr>
      </w:pPr>
    </w:p>
    <w:p w14:paraId="7C78346B" w14:textId="4D9434E5" w:rsidR="004A4F18" w:rsidRPr="007C5EBB" w:rsidRDefault="00C631FD" w:rsidP="001D22E3">
      <w:pPr>
        <w:rPr>
          <w:rFonts w:ascii="Times New Roman" w:hAnsi="Times New Roman" w:cs="Times New Roman"/>
          <w:b/>
          <w:sz w:val="20"/>
          <w:szCs w:val="20"/>
        </w:rPr>
      </w:pPr>
      <w:r w:rsidRPr="007C5EBB">
        <w:rPr>
          <w:rFonts w:ascii="Times New Roman" w:hAnsi="Times New Roman" w:cs="Times New Roman"/>
          <w:b/>
          <w:sz w:val="20"/>
          <w:szCs w:val="20"/>
        </w:rPr>
        <w:t>Figure 2:</w:t>
      </w:r>
      <w:r w:rsidR="004A4F18" w:rsidRPr="007C5EBB">
        <w:rPr>
          <w:rFonts w:ascii="Times New Roman" w:hAnsi="Times New Roman" w:cs="Times New Roman"/>
          <w:b/>
          <w:sz w:val="20"/>
          <w:szCs w:val="20"/>
        </w:rPr>
        <w:t xml:space="preserve"> Treatment Urgency of Children</w:t>
      </w:r>
      <w:r w:rsidR="001D22E3" w:rsidRPr="007C5EBB">
        <w:rPr>
          <w:rFonts w:ascii="Times New Roman" w:hAnsi="Times New Roman" w:cs="Times New Roman"/>
          <w:b/>
          <w:sz w:val="20"/>
          <w:szCs w:val="20"/>
        </w:rPr>
        <w:t xml:space="preserve"> of Parents who Participated in </w:t>
      </w:r>
      <w:r w:rsidR="004A4F18" w:rsidRPr="007C5EBB">
        <w:rPr>
          <w:rFonts w:ascii="Times New Roman" w:hAnsi="Times New Roman" w:cs="Times New Roman"/>
          <w:b/>
          <w:sz w:val="20"/>
          <w:szCs w:val="20"/>
        </w:rPr>
        <w:t xml:space="preserve">WIC / Head Start or Neither Program </w:t>
      </w:r>
    </w:p>
    <w:p w14:paraId="0F31265D" w14:textId="77777777" w:rsidR="004A4F18" w:rsidRPr="007C5EBB" w:rsidRDefault="004A4F18" w:rsidP="00C30AE8">
      <w:pPr>
        <w:rPr>
          <w:rFonts w:ascii="Times New Roman" w:hAnsi="Times New Roman" w:cs="Times New Roman"/>
          <w:sz w:val="20"/>
          <w:szCs w:val="20"/>
        </w:rPr>
      </w:pPr>
    </w:p>
    <w:p w14:paraId="251F183D" w14:textId="47F72372" w:rsidR="00124984" w:rsidRPr="007C5EBB" w:rsidRDefault="00DB1ABD" w:rsidP="00F30048">
      <w:pPr>
        <w:jc w:val="center"/>
        <w:rPr>
          <w:rFonts w:ascii="Times New Roman" w:hAnsi="Times New Roman" w:cs="Times New Roman"/>
          <w:sz w:val="20"/>
          <w:szCs w:val="20"/>
        </w:rPr>
      </w:pPr>
      <w:r w:rsidRPr="007C5EBB">
        <w:rPr>
          <w:noProof/>
          <w:sz w:val="20"/>
          <w:szCs w:val="20"/>
        </w:rPr>
        <w:drawing>
          <wp:inline distT="0" distB="0" distL="0" distR="0" wp14:anchorId="6F17A07B" wp14:editId="7874873D">
            <wp:extent cx="4556760" cy="2781300"/>
            <wp:effectExtent l="0" t="0" r="15240" b="127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36DB4D" w14:textId="09D6E1A5" w:rsidR="00F30048" w:rsidRPr="007C5EBB" w:rsidRDefault="00F30048" w:rsidP="00F30048">
      <w:pPr>
        <w:jc w:val="center"/>
        <w:rPr>
          <w:rFonts w:ascii="Times New Roman" w:hAnsi="Times New Roman" w:cs="Times New Roman"/>
          <w:sz w:val="20"/>
          <w:szCs w:val="20"/>
        </w:rPr>
      </w:pPr>
    </w:p>
    <w:p w14:paraId="15DBAD48" w14:textId="77777777" w:rsidR="00B31202" w:rsidRPr="007C5EBB" w:rsidRDefault="00B31202" w:rsidP="004D59A5">
      <w:pPr>
        <w:rPr>
          <w:rFonts w:ascii="Times New Roman" w:hAnsi="Times New Roman" w:cs="Times New Roman"/>
          <w:sz w:val="20"/>
          <w:szCs w:val="20"/>
        </w:rPr>
      </w:pPr>
    </w:p>
    <w:p w14:paraId="2E594EAE" w14:textId="77777777" w:rsidR="00BA3E5F" w:rsidRDefault="00BA3E5F" w:rsidP="00757ABB">
      <w:pPr>
        <w:rPr>
          <w:rFonts w:ascii="Times New Roman" w:hAnsi="Times New Roman" w:cs="Times New Roman"/>
          <w:sz w:val="20"/>
          <w:szCs w:val="20"/>
        </w:rPr>
        <w:sectPr w:rsidR="00BA3E5F" w:rsidSect="007C5EBB">
          <w:type w:val="continuous"/>
          <w:pgSz w:w="12240" w:h="15840"/>
          <w:pgMar w:top="1440" w:right="1440" w:bottom="1440" w:left="1440" w:header="720" w:footer="720" w:gutter="0"/>
          <w:cols w:space="720"/>
          <w:docGrid w:linePitch="360"/>
        </w:sectPr>
      </w:pPr>
    </w:p>
    <w:p w14:paraId="29B0C439" w14:textId="4DFF61D1" w:rsidR="00BA3A2F" w:rsidRPr="007C5EBB" w:rsidRDefault="0086095C" w:rsidP="00757ABB">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5C6F22" w:rsidRPr="007C5EBB">
        <w:rPr>
          <w:rFonts w:ascii="Times New Roman" w:hAnsi="Times New Roman" w:cs="Times New Roman"/>
          <w:sz w:val="20"/>
          <w:szCs w:val="20"/>
        </w:rPr>
        <w:t xml:space="preserve">A total of 106 parents had participated in WIC or Head Start and were asked how long ago they attended the programs. The parents would indicate participation </w:t>
      </w:r>
      <w:r w:rsidR="00BA3A2F" w:rsidRPr="007C5EBB">
        <w:rPr>
          <w:rFonts w:ascii="Times New Roman" w:hAnsi="Times New Roman" w:cs="Times New Roman"/>
          <w:sz w:val="20"/>
          <w:szCs w:val="20"/>
        </w:rPr>
        <w:t>occurred more than 3 years ago</w:t>
      </w:r>
      <w:r w:rsidR="00570ED5" w:rsidRPr="007C5EBB">
        <w:rPr>
          <w:rFonts w:ascii="Times New Roman" w:hAnsi="Times New Roman" w:cs="Times New Roman"/>
          <w:sz w:val="20"/>
          <w:szCs w:val="20"/>
        </w:rPr>
        <w:t xml:space="preserve"> (N=53)</w:t>
      </w:r>
      <w:r w:rsidR="00BA3A2F" w:rsidRPr="007C5EBB">
        <w:rPr>
          <w:rFonts w:ascii="Times New Roman" w:hAnsi="Times New Roman" w:cs="Times New Roman"/>
          <w:sz w:val="20"/>
          <w:szCs w:val="20"/>
        </w:rPr>
        <w:t xml:space="preserve">, </w:t>
      </w:r>
      <w:r w:rsidR="00BA3A2F" w:rsidRPr="007C5EBB">
        <w:rPr>
          <w:rFonts w:ascii="Times New Roman" w:hAnsi="Times New Roman" w:cs="Times New Roman"/>
          <w:sz w:val="20"/>
          <w:szCs w:val="20"/>
        </w:rPr>
        <w:lastRenderedPageBreak/>
        <w:t>2-3 years ago</w:t>
      </w:r>
      <w:r w:rsidR="00570ED5" w:rsidRPr="007C5EBB">
        <w:rPr>
          <w:rFonts w:ascii="Times New Roman" w:hAnsi="Times New Roman" w:cs="Times New Roman"/>
          <w:sz w:val="20"/>
          <w:szCs w:val="20"/>
        </w:rPr>
        <w:t xml:space="preserve"> (N=21)</w:t>
      </w:r>
      <w:r w:rsidR="00BA3A2F" w:rsidRPr="007C5EBB">
        <w:rPr>
          <w:rFonts w:ascii="Times New Roman" w:hAnsi="Times New Roman" w:cs="Times New Roman"/>
          <w:sz w:val="20"/>
          <w:szCs w:val="20"/>
        </w:rPr>
        <w:t>, 1-2 years ago</w:t>
      </w:r>
      <w:r w:rsidR="00570ED5" w:rsidRPr="007C5EBB">
        <w:rPr>
          <w:rFonts w:ascii="Times New Roman" w:hAnsi="Times New Roman" w:cs="Times New Roman"/>
          <w:sz w:val="20"/>
          <w:szCs w:val="20"/>
        </w:rPr>
        <w:t xml:space="preserve"> (N=10)</w:t>
      </w:r>
      <w:r w:rsidR="00BA3A2F" w:rsidRPr="007C5EBB">
        <w:rPr>
          <w:rFonts w:ascii="Times New Roman" w:hAnsi="Times New Roman" w:cs="Times New Roman"/>
          <w:sz w:val="20"/>
          <w:szCs w:val="20"/>
        </w:rPr>
        <w:t>, and less than 1 year ago</w:t>
      </w:r>
      <w:r w:rsidR="00570ED5" w:rsidRPr="007C5EBB">
        <w:rPr>
          <w:rFonts w:ascii="Times New Roman" w:hAnsi="Times New Roman" w:cs="Times New Roman"/>
          <w:sz w:val="20"/>
          <w:szCs w:val="20"/>
        </w:rPr>
        <w:t xml:space="preserve"> (N=23)</w:t>
      </w:r>
      <w:r w:rsidR="00BA3A2F" w:rsidRPr="007C5EBB">
        <w:rPr>
          <w:rFonts w:ascii="Times New Roman" w:hAnsi="Times New Roman" w:cs="Times New Roman"/>
          <w:sz w:val="20"/>
          <w:szCs w:val="20"/>
        </w:rPr>
        <w:t xml:space="preserve">. The oral health status and treatment urgency </w:t>
      </w:r>
      <w:r w:rsidR="002069B1" w:rsidRPr="007C5EBB">
        <w:rPr>
          <w:rFonts w:ascii="Times New Roman" w:hAnsi="Times New Roman" w:cs="Times New Roman"/>
          <w:sz w:val="20"/>
          <w:szCs w:val="20"/>
        </w:rPr>
        <w:t>w</w:t>
      </w:r>
      <w:r w:rsidR="003C2C29" w:rsidRPr="007C5EBB">
        <w:rPr>
          <w:rFonts w:ascii="Times New Roman" w:hAnsi="Times New Roman" w:cs="Times New Roman"/>
          <w:sz w:val="20"/>
          <w:szCs w:val="20"/>
        </w:rPr>
        <w:t>ere</w:t>
      </w:r>
      <w:r w:rsidR="002069B1" w:rsidRPr="007C5EBB">
        <w:rPr>
          <w:rFonts w:ascii="Times New Roman" w:hAnsi="Times New Roman" w:cs="Times New Roman"/>
          <w:sz w:val="20"/>
          <w:szCs w:val="20"/>
        </w:rPr>
        <w:t xml:space="preserve"> compared according to time intervals </w:t>
      </w:r>
      <w:r w:rsidR="00E77735" w:rsidRPr="007C5EBB">
        <w:rPr>
          <w:rFonts w:ascii="Times New Roman" w:hAnsi="Times New Roman" w:cs="Times New Roman"/>
          <w:sz w:val="20"/>
          <w:szCs w:val="20"/>
        </w:rPr>
        <w:t>[</w:t>
      </w:r>
      <w:r w:rsidR="00BA3A2F" w:rsidRPr="007C5EBB">
        <w:rPr>
          <w:rFonts w:ascii="Times New Roman" w:hAnsi="Times New Roman" w:cs="Times New Roman"/>
          <w:sz w:val="20"/>
          <w:szCs w:val="20"/>
        </w:rPr>
        <w:t>Table 4</w:t>
      </w:r>
      <w:r w:rsidR="002A6479" w:rsidRPr="007C5EBB">
        <w:rPr>
          <w:rFonts w:ascii="Times New Roman" w:hAnsi="Times New Roman" w:cs="Times New Roman"/>
          <w:sz w:val="20"/>
          <w:szCs w:val="20"/>
        </w:rPr>
        <w:t>, 5</w:t>
      </w:r>
      <w:r w:rsidR="00E77735" w:rsidRPr="007C5EBB">
        <w:rPr>
          <w:rFonts w:ascii="Times New Roman" w:hAnsi="Times New Roman" w:cs="Times New Roman"/>
          <w:sz w:val="20"/>
          <w:szCs w:val="20"/>
        </w:rPr>
        <w:t>]</w:t>
      </w:r>
      <w:r w:rsidR="00BA3A2F" w:rsidRPr="007C5EBB">
        <w:rPr>
          <w:rFonts w:ascii="Times New Roman" w:hAnsi="Times New Roman" w:cs="Times New Roman"/>
          <w:sz w:val="20"/>
          <w:szCs w:val="20"/>
        </w:rPr>
        <w:t xml:space="preserve">. </w:t>
      </w:r>
    </w:p>
    <w:p w14:paraId="3F32B3A7" w14:textId="77777777" w:rsidR="00BA3E5F" w:rsidRDefault="00BA3E5F" w:rsidP="00757ABB">
      <w:pPr>
        <w:rPr>
          <w:rFonts w:ascii="Times New Roman" w:hAnsi="Times New Roman" w:cs="Times New Roman"/>
          <w:sz w:val="20"/>
          <w:szCs w:val="20"/>
        </w:rPr>
        <w:sectPr w:rsidR="00BA3E5F" w:rsidSect="00BA3E5F">
          <w:type w:val="continuous"/>
          <w:pgSz w:w="12240" w:h="15840"/>
          <w:pgMar w:top="1440" w:right="1440" w:bottom="1440" w:left="1440" w:header="720" w:footer="720" w:gutter="0"/>
          <w:cols w:num="2" w:space="720"/>
          <w:docGrid w:linePitch="360"/>
        </w:sectPr>
      </w:pPr>
    </w:p>
    <w:p w14:paraId="1D73DFBB" w14:textId="332C2275" w:rsidR="00BA3A2F" w:rsidRPr="007C5EBB" w:rsidRDefault="00BA3A2F" w:rsidP="00757ABB">
      <w:pPr>
        <w:rPr>
          <w:rFonts w:ascii="Times New Roman" w:hAnsi="Times New Roman" w:cs="Times New Roman"/>
          <w:sz w:val="20"/>
          <w:szCs w:val="20"/>
        </w:rPr>
      </w:pPr>
    </w:p>
    <w:p w14:paraId="147987C6" w14:textId="77777777" w:rsidR="003C2C29" w:rsidRDefault="003C2C29" w:rsidP="00BA3A2F">
      <w:pPr>
        <w:rPr>
          <w:rFonts w:ascii="Times New Roman" w:hAnsi="Times New Roman" w:cs="Times New Roman"/>
          <w:b/>
          <w:sz w:val="20"/>
          <w:szCs w:val="20"/>
        </w:rPr>
      </w:pPr>
    </w:p>
    <w:p w14:paraId="1722DCA5" w14:textId="77777777" w:rsidR="00BA3E5F" w:rsidRDefault="00BA3E5F" w:rsidP="00BA3A2F">
      <w:pPr>
        <w:rPr>
          <w:rFonts w:ascii="Times New Roman" w:hAnsi="Times New Roman" w:cs="Times New Roman"/>
          <w:b/>
          <w:sz w:val="20"/>
          <w:szCs w:val="20"/>
        </w:rPr>
      </w:pPr>
    </w:p>
    <w:p w14:paraId="2F776AA7" w14:textId="77777777" w:rsidR="00BA3E5F" w:rsidRPr="007C5EBB" w:rsidRDefault="00BA3E5F" w:rsidP="00BA3A2F">
      <w:pPr>
        <w:rPr>
          <w:rFonts w:ascii="Times New Roman" w:hAnsi="Times New Roman" w:cs="Times New Roman"/>
          <w:b/>
          <w:sz w:val="20"/>
          <w:szCs w:val="20"/>
        </w:rPr>
      </w:pPr>
    </w:p>
    <w:p w14:paraId="127648C0" w14:textId="1FBA097C" w:rsidR="00BA3A2F" w:rsidRPr="007C5EBB" w:rsidRDefault="00BA3A2F" w:rsidP="00BA3A2F">
      <w:pPr>
        <w:rPr>
          <w:rFonts w:ascii="Times New Roman" w:hAnsi="Times New Roman" w:cs="Times New Roman"/>
          <w:sz w:val="20"/>
          <w:szCs w:val="20"/>
        </w:rPr>
      </w:pPr>
      <w:r w:rsidRPr="007C5EBB">
        <w:rPr>
          <w:rFonts w:ascii="Times New Roman" w:hAnsi="Times New Roman" w:cs="Times New Roman"/>
          <w:b/>
          <w:sz w:val="20"/>
          <w:szCs w:val="20"/>
        </w:rPr>
        <w:t xml:space="preserve">Table 4: Oral Health Status of Children who Participated in WIC or Head Start at </w:t>
      </w:r>
      <w:r w:rsidR="003C2C29" w:rsidRPr="007C5EBB">
        <w:rPr>
          <w:rFonts w:ascii="Times New Roman" w:hAnsi="Times New Roman" w:cs="Times New Roman"/>
          <w:b/>
          <w:sz w:val="20"/>
          <w:szCs w:val="20"/>
        </w:rPr>
        <w:t xml:space="preserve">a </w:t>
      </w:r>
      <w:r w:rsidRPr="007C5EBB">
        <w:rPr>
          <w:rFonts w:ascii="Times New Roman" w:hAnsi="Times New Roman" w:cs="Times New Roman"/>
          <w:b/>
          <w:sz w:val="20"/>
          <w:szCs w:val="20"/>
        </w:rPr>
        <w:t>Specific Time Interval</w:t>
      </w:r>
      <w:r w:rsidR="00570ED5" w:rsidRPr="007C5EBB">
        <w:rPr>
          <w:rFonts w:ascii="Times New Roman" w:hAnsi="Times New Roman" w:cs="Times New Roman"/>
          <w:b/>
          <w:sz w:val="20"/>
          <w:szCs w:val="20"/>
        </w:rPr>
        <w:t xml:space="preserve"> </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BA3A2F" w:rsidRPr="007C5EBB" w14:paraId="437EA83D" w14:textId="77777777" w:rsidTr="002069B1">
        <w:tc>
          <w:tcPr>
            <w:tcW w:w="4788" w:type="dxa"/>
            <w:tcBorders>
              <w:top w:val="single" w:sz="4" w:space="0" w:color="auto"/>
              <w:bottom w:val="single" w:sz="4" w:space="0" w:color="auto"/>
            </w:tcBorders>
          </w:tcPr>
          <w:p w14:paraId="5ED199E2" w14:textId="77777777" w:rsidR="00BA3A2F" w:rsidRPr="007C5EBB" w:rsidRDefault="00BA3A2F" w:rsidP="002069B1">
            <w:pPr>
              <w:rPr>
                <w:rFonts w:ascii="Times New Roman" w:hAnsi="Times New Roman" w:cs="Times New Roman"/>
                <w:b/>
                <w:sz w:val="20"/>
                <w:szCs w:val="20"/>
              </w:rPr>
            </w:pPr>
          </w:p>
        </w:tc>
        <w:tc>
          <w:tcPr>
            <w:tcW w:w="4788" w:type="dxa"/>
            <w:tcBorders>
              <w:top w:val="single" w:sz="4" w:space="0" w:color="auto"/>
              <w:bottom w:val="single" w:sz="4" w:space="0" w:color="auto"/>
            </w:tcBorders>
          </w:tcPr>
          <w:p w14:paraId="2A0957EB" w14:textId="77777777" w:rsidR="00BA3A2F" w:rsidRPr="007C5EBB" w:rsidRDefault="00BA3A2F" w:rsidP="002069B1">
            <w:pPr>
              <w:ind w:left="1440"/>
              <w:jc w:val="center"/>
              <w:rPr>
                <w:rFonts w:ascii="Times New Roman" w:hAnsi="Times New Roman" w:cs="Times New Roman"/>
                <w:b/>
                <w:sz w:val="20"/>
                <w:szCs w:val="20"/>
              </w:rPr>
            </w:pPr>
            <w:r w:rsidRPr="007C5EBB">
              <w:rPr>
                <w:rFonts w:ascii="Times New Roman" w:hAnsi="Times New Roman" w:cs="Times New Roman"/>
                <w:b/>
                <w:sz w:val="20"/>
                <w:szCs w:val="20"/>
              </w:rPr>
              <w:t>Total N (%)</w:t>
            </w:r>
          </w:p>
        </w:tc>
      </w:tr>
    </w:tbl>
    <w:p w14:paraId="6D090C24" w14:textId="77777777" w:rsidR="00BA3A2F" w:rsidRPr="007C5EBB" w:rsidRDefault="00BA3A2F" w:rsidP="00BA3A2F">
      <w:pPr>
        <w:rPr>
          <w:rFonts w:ascii="Times New Roman" w:hAnsi="Times New Roman" w:cs="Times New Roman"/>
          <w:b/>
          <w:sz w:val="20"/>
          <w:szCs w:val="20"/>
        </w:rPr>
      </w:pPr>
      <w:r w:rsidRPr="007C5EBB">
        <w:rPr>
          <w:rFonts w:ascii="Times New Roman" w:hAnsi="Times New Roman" w:cs="Times New Roman"/>
          <w:b/>
          <w:sz w:val="20"/>
          <w:szCs w:val="20"/>
        </w:rPr>
        <w:t>Untreated Decay</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68"/>
        <w:gridCol w:w="720"/>
        <w:gridCol w:w="4068"/>
        <w:gridCol w:w="720"/>
      </w:tblGrid>
      <w:tr w:rsidR="00BA3A2F" w:rsidRPr="007C5EBB" w14:paraId="1F8D0F1A" w14:textId="77777777" w:rsidTr="002069B1">
        <w:trPr>
          <w:gridBefore w:val="1"/>
          <w:wBefore w:w="720" w:type="dxa"/>
        </w:trPr>
        <w:tc>
          <w:tcPr>
            <w:tcW w:w="4788" w:type="dxa"/>
            <w:gridSpan w:val="2"/>
          </w:tcPr>
          <w:p w14:paraId="0F23B512" w14:textId="19ADD75D" w:rsidR="00BA3A2F" w:rsidRPr="007C5EBB" w:rsidRDefault="00BA3A2F" w:rsidP="002069B1">
            <w:pPr>
              <w:spacing w:line="276" w:lineRule="auto"/>
              <w:rPr>
                <w:rFonts w:ascii="Times New Roman" w:hAnsi="Times New Roman" w:cs="Times New Roman"/>
                <w:sz w:val="20"/>
                <w:szCs w:val="20"/>
              </w:rPr>
            </w:pPr>
          </w:p>
          <w:p w14:paraId="67E62DE8" w14:textId="5C5D4332"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p w14:paraId="663F14E7" w14:textId="77777777"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4F876EAE" w14:textId="77777777"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047C0A3B" w14:textId="3D2BCF92"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25A130F5" w14:textId="77777777" w:rsidR="00BA3A2F" w:rsidRPr="007C5EBB" w:rsidRDefault="00BA3A2F" w:rsidP="002069B1">
            <w:pPr>
              <w:spacing w:line="276" w:lineRule="auto"/>
              <w:jc w:val="center"/>
              <w:rPr>
                <w:rFonts w:ascii="Times New Roman" w:hAnsi="Times New Roman" w:cs="Times New Roman"/>
                <w:sz w:val="20"/>
                <w:szCs w:val="20"/>
              </w:rPr>
            </w:pPr>
          </w:p>
          <w:p w14:paraId="33DFF155" w14:textId="40D89CD4"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27 (25.5)</w:t>
            </w:r>
          </w:p>
          <w:p w14:paraId="26CFDD72" w14:textId="5105387F"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13 (12.2)</w:t>
            </w:r>
          </w:p>
          <w:p w14:paraId="0B68BEC3" w14:textId="505544EA"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5 (4.7)</w:t>
            </w:r>
          </w:p>
          <w:p w14:paraId="313A2AEA" w14:textId="2293EB63"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 xml:space="preserve">23 </w:t>
            </w:r>
            <w:r w:rsidR="00570ED5" w:rsidRPr="007C5EBB">
              <w:rPr>
                <w:rFonts w:ascii="Times New Roman" w:hAnsi="Times New Roman" w:cs="Times New Roman"/>
                <w:sz w:val="20"/>
                <w:szCs w:val="20"/>
              </w:rPr>
              <w:t>(</w:t>
            </w:r>
            <w:r w:rsidRPr="007C5EBB">
              <w:rPr>
                <w:rFonts w:ascii="Times New Roman" w:hAnsi="Times New Roman" w:cs="Times New Roman"/>
                <w:sz w:val="20"/>
                <w:szCs w:val="20"/>
              </w:rPr>
              <w:t>21.6)</w:t>
            </w:r>
          </w:p>
        </w:tc>
      </w:tr>
      <w:tr w:rsidR="00BA3A2F" w:rsidRPr="007C5EBB" w14:paraId="447B4357" w14:textId="77777777" w:rsidTr="002069B1">
        <w:trPr>
          <w:gridAfter w:val="1"/>
          <w:wAfter w:w="720" w:type="dxa"/>
        </w:trPr>
        <w:tc>
          <w:tcPr>
            <w:tcW w:w="4788" w:type="dxa"/>
            <w:gridSpan w:val="2"/>
          </w:tcPr>
          <w:p w14:paraId="018925DA" w14:textId="0F6F1C3C" w:rsidR="00BA3A2F" w:rsidRPr="007C5EBB" w:rsidRDefault="00BA3A2F" w:rsidP="002069B1">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Caries Experience</w:t>
            </w:r>
          </w:p>
        </w:tc>
        <w:tc>
          <w:tcPr>
            <w:tcW w:w="4788" w:type="dxa"/>
            <w:gridSpan w:val="2"/>
          </w:tcPr>
          <w:p w14:paraId="057DC1AA" w14:textId="77777777" w:rsidR="00BA3A2F" w:rsidRPr="007C5EBB" w:rsidRDefault="00BA3A2F" w:rsidP="002069B1">
            <w:pPr>
              <w:spacing w:line="276" w:lineRule="auto"/>
              <w:jc w:val="center"/>
              <w:rPr>
                <w:rFonts w:ascii="Times New Roman" w:hAnsi="Times New Roman" w:cs="Times New Roman"/>
                <w:sz w:val="20"/>
                <w:szCs w:val="20"/>
              </w:rPr>
            </w:pPr>
          </w:p>
        </w:tc>
      </w:tr>
      <w:tr w:rsidR="00BA3A2F" w:rsidRPr="007C5EBB" w14:paraId="66F0B9AC" w14:textId="77777777" w:rsidTr="002069B1">
        <w:trPr>
          <w:gridBefore w:val="1"/>
          <w:wBefore w:w="720" w:type="dxa"/>
        </w:trPr>
        <w:tc>
          <w:tcPr>
            <w:tcW w:w="4788" w:type="dxa"/>
            <w:gridSpan w:val="2"/>
          </w:tcPr>
          <w:p w14:paraId="47D348DD" w14:textId="46FB09FE"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tc>
        <w:tc>
          <w:tcPr>
            <w:tcW w:w="4788" w:type="dxa"/>
            <w:gridSpan w:val="2"/>
          </w:tcPr>
          <w:p w14:paraId="0F9F223A" w14:textId="7439ED8A"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34 (32.0)</w:t>
            </w:r>
          </w:p>
        </w:tc>
      </w:tr>
      <w:tr w:rsidR="00BA3A2F" w:rsidRPr="007C5EBB" w14:paraId="34C1F728" w14:textId="77777777" w:rsidTr="002069B1">
        <w:trPr>
          <w:gridBefore w:val="1"/>
          <w:wBefore w:w="720" w:type="dxa"/>
        </w:trPr>
        <w:tc>
          <w:tcPr>
            <w:tcW w:w="4788" w:type="dxa"/>
            <w:gridSpan w:val="2"/>
          </w:tcPr>
          <w:p w14:paraId="7930DB37" w14:textId="382F88A1"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6256D4D3" w14:textId="77777777"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3C0FFAF0" w14:textId="12996A7F"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05682B68" w14:textId="77777777"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14 (13.2)</w:t>
            </w:r>
          </w:p>
          <w:p w14:paraId="0855F7C5"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6 (5.7)</w:t>
            </w:r>
          </w:p>
          <w:p w14:paraId="4C1AA1E7" w14:textId="0BEE4211"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25 (23.6)</w:t>
            </w:r>
          </w:p>
        </w:tc>
      </w:tr>
      <w:tr w:rsidR="00BA3A2F" w:rsidRPr="007C5EBB" w14:paraId="229E99E1" w14:textId="77777777" w:rsidTr="002069B1">
        <w:trPr>
          <w:gridAfter w:val="1"/>
          <w:wAfter w:w="720" w:type="dxa"/>
        </w:trPr>
        <w:tc>
          <w:tcPr>
            <w:tcW w:w="4788" w:type="dxa"/>
            <w:gridSpan w:val="2"/>
          </w:tcPr>
          <w:p w14:paraId="10338403" w14:textId="650F02E0" w:rsidR="00BA3A2F" w:rsidRPr="007C5EBB" w:rsidRDefault="00BA3A2F" w:rsidP="002069B1">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Sealants</w:t>
            </w:r>
          </w:p>
        </w:tc>
        <w:tc>
          <w:tcPr>
            <w:tcW w:w="4788" w:type="dxa"/>
            <w:gridSpan w:val="2"/>
          </w:tcPr>
          <w:p w14:paraId="235C2FB3" w14:textId="77777777" w:rsidR="00BA3A2F" w:rsidRPr="007C5EBB" w:rsidRDefault="00BA3A2F" w:rsidP="002069B1">
            <w:pPr>
              <w:spacing w:line="276" w:lineRule="auto"/>
              <w:jc w:val="center"/>
              <w:rPr>
                <w:rFonts w:ascii="Times New Roman" w:hAnsi="Times New Roman" w:cs="Times New Roman"/>
                <w:sz w:val="20"/>
                <w:szCs w:val="20"/>
              </w:rPr>
            </w:pPr>
          </w:p>
        </w:tc>
      </w:tr>
      <w:tr w:rsidR="00BA3A2F" w:rsidRPr="007C5EBB" w14:paraId="0D039423" w14:textId="77777777" w:rsidTr="002069B1">
        <w:trPr>
          <w:gridBefore w:val="1"/>
          <w:wBefore w:w="720" w:type="dxa"/>
        </w:trPr>
        <w:tc>
          <w:tcPr>
            <w:tcW w:w="4788" w:type="dxa"/>
            <w:gridSpan w:val="2"/>
          </w:tcPr>
          <w:p w14:paraId="39821AE4" w14:textId="0A27845C"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tc>
        <w:tc>
          <w:tcPr>
            <w:tcW w:w="4788" w:type="dxa"/>
            <w:gridSpan w:val="2"/>
          </w:tcPr>
          <w:p w14:paraId="4F4E619D" w14:textId="55008BBD"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16 (15.1)</w:t>
            </w:r>
          </w:p>
        </w:tc>
      </w:tr>
      <w:tr w:rsidR="00BA3A2F" w:rsidRPr="007C5EBB" w14:paraId="5D75969D" w14:textId="77777777" w:rsidTr="002069B1">
        <w:trPr>
          <w:gridBefore w:val="1"/>
          <w:wBefore w:w="720" w:type="dxa"/>
        </w:trPr>
        <w:tc>
          <w:tcPr>
            <w:tcW w:w="4788" w:type="dxa"/>
            <w:gridSpan w:val="2"/>
          </w:tcPr>
          <w:p w14:paraId="220CDB70" w14:textId="7830F6CD"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624B2756" w14:textId="77777777"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5D56BCDC" w14:textId="097915DB" w:rsidR="00BA3A2F" w:rsidRPr="007C5EBB" w:rsidRDefault="00BA3A2F"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73377F58" w14:textId="77777777" w:rsidR="00BA3A2F"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5 (4.7)</w:t>
            </w:r>
          </w:p>
          <w:p w14:paraId="331D3F2B"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0</w:t>
            </w:r>
          </w:p>
          <w:p w14:paraId="63981BF6" w14:textId="04A5E59E"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9 (8.5)</w:t>
            </w:r>
          </w:p>
        </w:tc>
      </w:tr>
    </w:tbl>
    <w:p w14:paraId="1443EE00" w14:textId="77777777" w:rsidR="007D2F78" w:rsidRPr="007C5EBB" w:rsidRDefault="007D2F78" w:rsidP="00BA3A2F">
      <w:pPr>
        <w:pBdr>
          <w:bottom w:val="single" w:sz="6" w:space="1" w:color="auto"/>
        </w:pBdr>
        <w:spacing w:line="480" w:lineRule="auto"/>
        <w:rPr>
          <w:rFonts w:ascii="Times New Roman" w:hAnsi="Times New Roman" w:cs="Times New Roman"/>
          <w:sz w:val="20"/>
          <w:szCs w:val="20"/>
        </w:rPr>
      </w:pPr>
    </w:p>
    <w:p w14:paraId="5536CF76" w14:textId="5398BAA3" w:rsidR="00BA3A2F" w:rsidRPr="007C5EBB" w:rsidRDefault="002A6479" w:rsidP="00BA3A2F">
      <w:pPr>
        <w:spacing w:line="480" w:lineRule="auto"/>
        <w:rPr>
          <w:rFonts w:ascii="Times New Roman" w:hAnsi="Times New Roman" w:cs="Times New Roman"/>
          <w:sz w:val="20"/>
          <w:szCs w:val="20"/>
        </w:rPr>
      </w:pPr>
      <w:r w:rsidRPr="007C5EBB">
        <w:rPr>
          <w:rFonts w:ascii="Times New Roman" w:hAnsi="Times New Roman" w:cs="Times New Roman"/>
          <w:sz w:val="20"/>
          <w:szCs w:val="20"/>
        </w:rPr>
        <w:t>Note: N=106</w:t>
      </w:r>
      <w:r w:rsidR="00BA3A2F" w:rsidRPr="007C5EBB">
        <w:rPr>
          <w:rFonts w:ascii="Times New Roman" w:hAnsi="Times New Roman" w:cs="Times New Roman"/>
          <w:sz w:val="20"/>
          <w:szCs w:val="20"/>
        </w:rPr>
        <w:t>; Total may not equal to 100% due to missing data</w:t>
      </w:r>
      <w:r w:rsidR="00BA3A2F" w:rsidRPr="007C5EBB">
        <w:rPr>
          <w:rFonts w:ascii="Times New Roman" w:hAnsi="Times New Roman" w:cs="Times New Roman"/>
          <w:sz w:val="20"/>
          <w:szCs w:val="20"/>
        </w:rPr>
        <w:tab/>
      </w:r>
    </w:p>
    <w:p w14:paraId="580A4439" w14:textId="29BB60B3" w:rsidR="002A6479" w:rsidRPr="007C5EBB" w:rsidRDefault="002A6479" w:rsidP="002A6479">
      <w:pPr>
        <w:rPr>
          <w:rFonts w:ascii="Times New Roman" w:hAnsi="Times New Roman" w:cs="Times New Roman"/>
          <w:sz w:val="20"/>
          <w:szCs w:val="20"/>
        </w:rPr>
      </w:pPr>
      <w:r w:rsidRPr="007C5EBB">
        <w:rPr>
          <w:rFonts w:ascii="Times New Roman" w:hAnsi="Times New Roman" w:cs="Times New Roman"/>
          <w:b/>
          <w:sz w:val="20"/>
          <w:szCs w:val="20"/>
        </w:rPr>
        <w:t xml:space="preserve">Table 5: Treatment Urgency of Children who </w:t>
      </w:r>
      <w:proofErr w:type="gramStart"/>
      <w:r w:rsidRPr="007C5EBB">
        <w:rPr>
          <w:rFonts w:ascii="Times New Roman" w:hAnsi="Times New Roman" w:cs="Times New Roman"/>
          <w:b/>
          <w:sz w:val="20"/>
          <w:szCs w:val="20"/>
        </w:rPr>
        <w:t>Participated</w:t>
      </w:r>
      <w:proofErr w:type="gramEnd"/>
      <w:r w:rsidRPr="007C5EBB">
        <w:rPr>
          <w:rFonts w:ascii="Times New Roman" w:hAnsi="Times New Roman" w:cs="Times New Roman"/>
          <w:b/>
          <w:sz w:val="20"/>
          <w:szCs w:val="20"/>
        </w:rPr>
        <w:t xml:space="preserve"> in WIC or Head Start at </w:t>
      </w:r>
      <w:r w:rsidR="003C2C29" w:rsidRPr="007C5EBB">
        <w:rPr>
          <w:rFonts w:ascii="Times New Roman" w:hAnsi="Times New Roman" w:cs="Times New Roman"/>
          <w:b/>
          <w:sz w:val="20"/>
          <w:szCs w:val="20"/>
        </w:rPr>
        <w:t xml:space="preserve">a </w:t>
      </w:r>
      <w:r w:rsidRPr="007C5EBB">
        <w:rPr>
          <w:rFonts w:ascii="Times New Roman" w:hAnsi="Times New Roman" w:cs="Times New Roman"/>
          <w:b/>
          <w:sz w:val="20"/>
          <w:szCs w:val="20"/>
        </w:rPr>
        <w:t>Specific Time Interval</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A6479" w:rsidRPr="007C5EBB" w14:paraId="6E45D779" w14:textId="77777777" w:rsidTr="002069B1">
        <w:tc>
          <w:tcPr>
            <w:tcW w:w="4788" w:type="dxa"/>
            <w:tcBorders>
              <w:top w:val="single" w:sz="4" w:space="0" w:color="auto"/>
              <w:bottom w:val="single" w:sz="4" w:space="0" w:color="auto"/>
            </w:tcBorders>
          </w:tcPr>
          <w:p w14:paraId="1CE82729" w14:textId="77777777" w:rsidR="002A6479" w:rsidRPr="007C5EBB" w:rsidRDefault="002A6479" w:rsidP="002069B1">
            <w:pPr>
              <w:rPr>
                <w:rFonts w:ascii="Times New Roman" w:hAnsi="Times New Roman" w:cs="Times New Roman"/>
                <w:b/>
                <w:sz w:val="20"/>
                <w:szCs w:val="20"/>
              </w:rPr>
            </w:pPr>
          </w:p>
        </w:tc>
        <w:tc>
          <w:tcPr>
            <w:tcW w:w="4788" w:type="dxa"/>
            <w:tcBorders>
              <w:top w:val="single" w:sz="4" w:space="0" w:color="auto"/>
              <w:bottom w:val="single" w:sz="4" w:space="0" w:color="auto"/>
            </w:tcBorders>
          </w:tcPr>
          <w:p w14:paraId="11330B51" w14:textId="77777777" w:rsidR="002A6479" w:rsidRPr="007C5EBB" w:rsidRDefault="002A6479" w:rsidP="002069B1">
            <w:pPr>
              <w:ind w:left="1440"/>
              <w:jc w:val="center"/>
              <w:rPr>
                <w:rFonts w:ascii="Times New Roman" w:hAnsi="Times New Roman" w:cs="Times New Roman"/>
                <w:b/>
                <w:sz w:val="20"/>
                <w:szCs w:val="20"/>
              </w:rPr>
            </w:pPr>
            <w:r w:rsidRPr="007C5EBB">
              <w:rPr>
                <w:rFonts w:ascii="Times New Roman" w:hAnsi="Times New Roman" w:cs="Times New Roman"/>
                <w:b/>
                <w:sz w:val="20"/>
                <w:szCs w:val="20"/>
              </w:rPr>
              <w:t>Total N (%)</w:t>
            </w:r>
          </w:p>
        </w:tc>
      </w:tr>
    </w:tbl>
    <w:p w14:paraId="1781C9A0" w14:textId="37E696AC" w:rsidR="002A6479" w:rsidRPr="007C5EBB" w:rsidRDefault="002A6479" w:rsidP="002A6479">
      <w:pPr>
        <w:rPr>
          <w:rFonts w:ascii="Times New Roman" w:hAnsi="Times New Roman" w:cs="Times New Roman"/>
          <w:b/>
          <w:sz w:val="20"/>
          <w:szCs w:val="20"/>
        </w:rPr>
      </w:pPr>
      <w:r w:rsidRPr="007C5EBB">
        <w:rPr>
          <w:rFonts w:ascii="Times New Roman" w:hAnsi="Times New Roman" w:cs="Times New Roman"/>
          <w:b/>
          <w:sz w:val="20"/>
          <w:szCs w:val="20"/>
        </w:rPr>
        <w:t>No Obvious Problem</w:t>
      </w:r>
    </w:p>
    <w:tbl>
      <w:tblPr>
        <w:tblStyle w:val="TableGrid"/>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068"/>
        <w:gridCol w:w="720"/>
        <w:gridCol w:w="4068"/>
        <w:gridCol w:w="720"/>
      </w:tblGrid>
      <w:tr w:rsidR="002A6479" w:rsidRPr="007C5EBB" w14:paraId="3077041B" w14:textId="77777777" w:rsidTr="002069B1">
        <w:trPr>
          <w:gridBefore w:val="1"/>
          <w:wBefore w:w="720" w:type="dxa"/>
        </w:trPr>
        <w:tc>
          <w:tcPr>
            <w:tcW w:w="4788" w:type="dxa"/>
            <w:gridSpan w:val="2"/>
          </w:tcPr>
          <w:p w14:paraId="6920B36C" w14:textId="77777777" w:rsidR="002A6479" w:rsidRPr="007C5EBB" w:rsidRDefault="002A6479" w:rsidP="002069B1">
            <w:pPr>
              <w:spacing w:line="276" w:lineRule="auto"/>
              <w:rPr>
                <w:rFonts w:ascii="Times New Roman" w:hAnsi="Times New Roman" w:cs="Times New Roman"/>
                <w:sz w:val="20"/>
                <w:szCs w:val="20"/>
              </w:rPr>
            </w:pPr>
          </w:p>
          <w:p w14:paraId="26902E32"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p w14:paraId="04490697"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008E7AD8"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750B557B"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4EDB458C" w14:textId="77777777" w:rsidR="002A6479" w:rsidRPr="007C5EBB" w:rsidRDefault="002A6479" w:rsidP="002069B1">
            <w:pPr>
              <w:spacing w:line="276" w:lineRule="auto"/>
              <w:jc w:val="center"/>
              <w:rPr>
                <w:rFonts w:ascii="Times New Roman" w:hAnsi="Times New Roman" w:cs="Times New Roman"/>
                <w:sz w:val="20"/>
                <w:szCs w:val="20"/>
              </w:rPr>
            </w:pPr>
          </w:p>
          <w:p w14:paraId="4D07E699" w14:textId="69D67CB8"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20 (18.9)</w:t>
            </w:r>
          </w:p>
          <w:p w14:paraId="6677CE39"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8 (7.5)</w:t>
            </w:r>
          </w:p>
          <w:p w14:paraId="1D2F573F"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4 (3.8)</w:t>
            </w:r>
          </w:p>
          <w:p w14:paraId="43265426" w14:textId="03EF4CEC"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4 (3.8)</w:t>
            </w:r>
          </w:p>
        </w:tc>
      </w:tr>
      <w:tr w:rsidR="002A6479" w:rsidRPr="007C5EBB" w14:paraId="71D03298" w14:textId="77777777" w:rsidTr="002069B1">
        <w:trPr>
          <w:gridAfter w:val="1"/>
          <w:wAfter w:w="720" w:type="dxa"/>
        </w:trPr>
        <w:tc>
          <w:tcPr>
            <w:tcW w:w="4788" w:type="dxa"/>
            <w:gridSpan w:val="2"/>
          </w:tcPr>
          <w:p w14:paraId="60E55287" w14:textId="3C32CD00" w:rsidR="002A6479" w:rsidRPr="007C5EBB" w:rsidRDefault="002A6479" w:rsidP="002069B1">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Early Care</w:t>
            </w:r>
          </w:p>
        </w:tc>
        <w:tc>
          <w:tcPr>
            <w:tcW w:w="4788" w:type="dxa"/>
            <w:gridSpan w:val="2"/>
          </w:tcPr>
          <w:p w14:paraId="589BF343" w14:textId="77777777" w:rsidR="002A6479" w:rsidRPr="007C5EBB" w:rsidRDefault="002A6479" w:rsidP="002069B1">
            <w:pPr>
              <w:spacing w:line="276" w:lineRule="auto"/>
              <w:jc w:val="center"/>
              <w:rPr>
                <w:rFonts w:ascii="Times New Roman" w:hAnsi="Times New Roman" w:cs="Times New Roman"/>
                <w:sz w:val="20"/>
                <w:szCs w:val="20"/>
              </w:rPr>
            </w:pPr>
          </w:p>
        </w:tc>
      </w:tr>
      <w:tr w:rsidR="002A6479" w:rsidRPr="007C5EBB" w14:paraId="3669E772" w14:textId="77777777" w:rsidTr="002069B1">
        <w:trPr>
          <w:gridBefore w:val="1"/>
          <w:wBefore w:w="720" w:type="dxa"/>
        </w:trPr>
        <w:tc>
          <w:tcPr>
            <w:tcW w:w="4788" w:type="dxa"/>
            <w:gridSpan w:val="2"/>
          </w:tcPr>
          <w:p w14:paraId="5B31E894"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tc>
        <w:tc>
          <w:tcPr>
            <w:tcW w:w="4788" w:type="dxa"/>
            <w:gridSpan w:val="2"/>
          </w:tcPr>
          <w:p w14:paraId="24B45D3E" w14:textId="393A11C8"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17 (16.0)</w:t>
            </w:r>
          </w:p>
        </w:tc>
      </w:tr>
      <w:tr w:rsidR="002A6479" w:rsidRPr="007C5EBB" w14:paraId="22645A7F" w14:textId="77777777" w:rsidTr="002069B1">
        <w:trPr>
          <w:gridBefore w:val="1"/>
          <w:wBefore w:w="720" w:type="dxa"/>
        </w:trPr>
        <w:tc>
          <w:tcPr>
            <w:tcW w:w="4788" w:type="dxa"/>
            <w:gridSpan w:val="2"/>
          </w:tcPr>
          <w:p w14:paraId="17E0C4AD"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24E5E688"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22C9C666"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63CC830A"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11 (10.4)</w:t>
            </w:r>
          </w:p>
          <w:p w14:paraId="31D2561A"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5 (4.7)</w:t>
            </w:r>
          </w:p>
          <w:p w14:paraId="31CD0C79" w14:textId="6D3DE288"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21 (19.8)</w:t>
            </w:r>
          </w:p>
        </w:tc>
      </w:tr>
      <w:tr w:rsidR="002A6479" w:rsidRPr="007C5EBB" w14:paraId="4A9999F5" w14:textId="77777777" w:rsidTr="002069B1">
        <w:trPr>
          <w:gridAfter w:val="1"/>
          <w:wAfter w:w="720" w:type="dxa"/>
        </w:trPr>
        <w:tc>
          <w:tcPr>
            <w:tcW w:w="4788" w:type="dxa"/>
            <w:gridSpan w:val="2"/>
          </w:tcPr>
          <w:p w14:paraId="7EF07A1F" w14:textId="37CBF51E" w:rsidR="002A6479" w:rsidRPr="007C5EBB" w:rsidRDefault="002A6479" w:rsidP="002069B1">
            <w:pPr>
              <w:spacing w:line="276" w:lineRule="auto"/>
              <w:rPr>
                <w:rFonts w:ascii="Times New Roman" w:hAnsi="Times New Roman" w:cs="Times New Roman"/>
                <w:b/>
                <w:sz w:val="20"/>
                <w:szCs w:val="20"/>
              </w:rPr>
            </w:pPr>
            <w:r w:rsidRPr="007C5EBB">
              <w:rPr>
                <w:rFonts w:ascii="Times New Roman" w:hAnsi="Times New Roman" w:cs="Times New Roman"/>
                <w:b/>
                <w:sz w:val="20"/>
                <w:szCs w:val="20"/>
              </w:rPr>
              <w:t>Urgent Care</w:t>
            </w:r>
          </w:p>
        </w:tc>
        <w:tc>
          <w:tcPr>
            <w:tcW w:w="4788" w:type="dxa"/>
            <w:gridSpan w:val="2"/>
          </w:tcPr>
          <w:p w14:paraId="6A89FC1B" w14:textId="77777777" w:rsidR="002A6479" w:rsidRPr="007C5EBB" w:rsidRDefault="002A6479" w:rsidP="002A6479">
            <w:pPr>
              <w:spacing w:line="276" w:lineRule="auto"/>
              <w:rPr>
                <w:rFonts w:ascii="Times New Roman" w:hAnsi="Times New Roman" w:cs="Times New Roman"/>
                <w:sz w:val="20"/>
                <w:szCs w:val="20"/>
              </w:rPr>
            </w:pPr>
          </w:p>
        </w:tc>
      </w:tr>
      <w:tr w:rsidR="002A6479" w:rsidRPr="007C5EBB" w14:paraId="0E28B0F0" w14:textId="77777777" w:rsidTr="002069B1">
        <w:trPr>
          <w:gridBefore w:val="1"/>
          <w:wBefore w:w="720" w:type="dxa"/>
        </w:trPr>
        <w:tc>
          <w:tcPr>
            <w:tcW w:w="4788" w:type="dxa"/>
            <w:gridSpan w:val="2"/>
          </w:tcPr>
          <w:p w14:paraId="01B43967"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More than 3 Years</w:t>
            </w:r>
          </w:p>
        </w:tc>
        <w:tc>
          <w:tcPr>
            <w:tcW w:w="4788" w:type="dxa"/>
            <w:gridSpan w:val="2"/>
          </w:tcPr>
          <w:p w14:paraId="7A0ADF62" w14:textId="7C063D95"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11 (10.4)</w:t>
            </w:r>
          </w:p>
        </w:tc>
      </w:tr>
      <w:tr w:rsidR="002A6479" w:rsidRPr="007C5EBB" w14:paraId="19E35AB5" w14:textId="77777777" w:rsidTr="002069B1">
        <w:trPr>
          <w:gridBefore w:val="1"/>
          <w:wBefore w:w="720" w:type="dxa"/>
        </w:trPr>
        <w:tc>
          <w:tcPr>
            <w:tcW w:w="4788" w:type="dxa"/>
            <w:gridSpan w:val="2"/>
          </w:tcPr>
          <w:p w14:paraId="4A1894D2"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2-3 Years</w:t>
            </w:r>
          </w:p>
          <w:p w14:paraId="2C120785"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1-2 Years</w:t>
            </w:r>
          </w:p>
          <w:p w14:paraId="4AB73AE1" w14:textId="77777777" w:rsidR="002A6479" w:rsidRPr="007C5EBB" w:rsidRDefault="002A6479" w:rsidP="002069B1">
            <w:pPr>
              <w:spacing w:line="276" w:lineRule="auto"/>
              <w:rPr>
                <w:rFonts w:ascii="Times New Roman" w:hAnsi="Times New Roman" w:cs="Times New Roman"/>
                <w:sz w:val="20"/>
                <w:szCs w:val="20"/>
              </w:rPr>
            </w:pPr>
            <w:r w:rsidRPr="007C5EBB">
              <w:rPr>
                <w:rFonts w:ascii="Times New Roman" w:hAnsi="Times New Roman" w:cs="Times New Roman"/>
                <w:sz w:val="20"/>
                <w:szCs w:val="20"/>
              </w:rPr>
              <w:t>Less than 1 Year</w:t>
            </w:r>
          </w:p>
        </w:tc>
        <w:tc>
          <w:tcPr>
            <w:tcW w:w="4788" w:type="dxa"/>
            <w:gridSpan w:val="2"/>
          </w:tcPr>
          <w:p w14:paraId="0150BAF5"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 (1.9)</w:t>
            </w:r>
          </w:p>
          <w:p w14:paraId="1120EF5F" w14:textId="77777777"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0</w:t>
            </w:r>
          </w:p>
          <w:p w14:paraId="725AA11A" w14:textId="07C44116" w:rsidR="002A6479" w:rsidRPr="007C5EBB" w:rsidRDefault="002A6479" w:rsidP="002069B1">
            <w:pPr>
              <w:spacing w:line="276" w:lineRule="auto"/>
              <w:jc w:val="center"/>
              <w:rPr>
                <w:rFonts w:ascii="Times New Roman" w:hAnsi="Times New Roman" w:cs="Times New Roman"/>
                <w:sz w:val="20"/>
                <w:szCs w:val="20"/>
              </w:rPr>
            </w:pPr>
            <w:r w:rsidRPr="007C5EBB">
              <w:rPr>
                <w:rFonts w:ascii="Times New Roman" w:hAnsi="Times New Roman" w:cs="Times New Roman"/>
                <w:sz w:val="20"/>
                <w:szCs w:val="20"/>
              </w:rPr>
              <w:t>2 (1.9)</w:t>
            </w:r>
          </w:p>
        </w:tc>
      </w:tr>
    </w:tbl>
    <w:p w14:paraId="2DE0188F" w14:textId="12AD77AE" w:rsidR="002A6479" w:rsidRPr="007C5EBB" w:rsidRDefault="002A6479" w:rsidP="002A6479">
      <w:pPr>
        <w:pBdr>
          <w:bottom w:val="single" w:sz="6" w:space="1" w:color="auto"/>
        </w:pBdr>
        <w:rPr>
          <w:rFonts w:ascii="Times New Roman" w:hAnsi="Times New Roman" w:cs="Times New Roman"/>
          <w:sz w:val="20"/>
          <w:szCs w:val="20"/>
        </w:rPr>
      </w:pPr>
    </w:p>
    <w:p w14:paraId="7F82E759" w14:textId="029C1581" w:rsidR="002A6479" w:rsidRPr="007C5EBB" w:rsidRDefault="002A6479" w:rsidP="002A6479">
      <w:pPr>
        <w:spacing w:line="480" w:lineRule="auto"/>
        <w:rPr>
          <w:rFonts w:ascii="Times New Roman" w:hAnsi="Times New Roman" w:cs="Times New Roman"/>
          <w:sz w:val="20"/>
          <w:szCs w:val="20"/>
        </w:rPr>
      </w:pPr>
      <w:r w:rsidRPr="007C5EBB">
        <w:rPr>
          <w:rFonts w:ascii="Times New Roman" w:hAnsi="Times New Roman" w:cs="Times New Roman"/>
          <w:sz w:val="20"/>
          <w:szCs w:val="20"/>
        </w:rPr>
        <w:t>Note: N=106; Total may not equal to 100% due to missing data</w:t>
      </w:r>
      <w:r w:rsidRPr="007C5EBB">
        <w:rPr>
          <w:rFonts w:ascii="Times New Roman" w:hAnsi="Times New Roman" w:cs="Times New Roman"/>
          <w:sz w:val="20"/>
          <w:szCs w:val="20"/>
        </w:rPr>
        <w:tab/>
      </w:r>
    </w:p>
    <w:p w14:paraId="18A5E3BE" w14:textId="77777777" w:rsidR="00BA3E5F" w:rsidRDefault="00BA3E5F" w:rsidP="00757ABB">
      <w:pPr>
        <w:rPr>
          <w:rFonts w:ascii="Times New Roman" w:hAnsi="Times New Roman" w:cs="Times New Roman"/>
          <w:sz w:val="20"/>
          <w:szCs w:val="20"/>
        </w:rPr>
        <w:sectPr w:rsidR="00BA3E5F" w:rsidSect="007C5EBB">
          <w:type w:val="continuous"/>
          <w:pgSz w:w="12240" w:h="15840"/>
          <w:pgMar w:top="1440" w:right="1440" w:bottom="1440" w:left="1440" w:header="720" w:footer="720" w:gutter="0"/>
          <w:cols w:space="720"/>
          <w:docGrid w:linePitch="360"/>
        </w:sectPr>
      </w:pPr>
    </w:p>
    <w:p w14:paraId="63491A7D" w14:textId="59585EF3" w:rsidR="00757ABB" w:rsidRPr="007C5EBB" w:rsidRDefault="0086095C" w:rsidP="00757ABB">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757ABB" w:rsidRPr="007C5EBB">
        <w:rPr>
          <w:rFonts w:ascii="Times New Roman" w:hAnsi="Times New Roman" w:cs="Times New Roman"/>
          <w:sz w:val="20"/>
          <w:szCs w:val="20"/>
        </w:rPr>
        <w:t>When t</w:t>
      </w:r>
      <w:r w:rsidR="008C2718" w:rsidRPr="007C5EBB">
        <w:rPr>
          <w:rFonts w:ascii="Times New Roman" w:hAnsi="Times New Roman" w:cs="Times New Roman"/>
          <w:sz w:val="20"/>
          <w:szCs w:val="20"/>
        </w:rPr>
        <w:t>he WIC and Head Start participan</w:t>
      </w:r>
      <w:r w:rsidR="00124984" w:rsidRPr="007C5EBB">
        <w:rPr>
          <w:rFonts w:ascii="Times New Roman" w:hAnsi="Times New Roman" w:cs="Times New Roman"/>
          <w:sz w:val="20"/>
          <w:szCs w:val="20"/>
        </w:rPr>
        <w:t xml:space="preserve">ts were asked how long ago </w:t>
      </w:r>
      <w:r w:rsidR="008C2718" w:rsidRPr="007C5EBB">
        <w:rPr>
          <w:rFonts w:ascii="Times New Roman" w:hAnsi="Times New Roman" w:cs="Times New Roman"/>
          <w:sz w:val="20"/>
          <w:szCs w:val="20"/>
        </w:rPr>
        <w:t xml:space="preserve">they attended </w:t>
      </w:r>
      <w:r w:rsidR="00124984" w:rsidRPr="007C5EBB">
        <w:rPr>
          <w:rFonts w:ascii="Times New Roman" w:hAnsi="Times New Roman" w:cs="Times New Roman"/>
          <w:sz w:val="20"/>
          <w:szCs w:val="20"/>
        </w:rPr>
        <w:t>the program</w:t>
      </w:r>
      <w:r w:rsidR="007843BE" w:rsidRPr="007C5EBB">
        <w:rPr>
          <w:rFonts w:ascii="Times New Roman" w:hAnsi="Times New Roman" w:cs="Times New Roman"/>
          <w:sz w:val="20"/>
          <w:szCs w:val="20"/>
        </w:rPr>
        <w:t>,</w:t>
      </w:r>
      <w:r w:rsidR="002069B1" w:rsidRPr="007C5EBB">
        <w:rPr>
          <w:rFonts w:ascii="Times New Roman" w:hAnsi="Times New Roman" w:cs="Times New Roman"/>
          <w:sz w:val="20"/>
          <w:szCs w:val="20"/>
        </w:rPr>
        <w:t xml:space="preserve"> children of parents who participated more than </w:t>
      </w:r>
      <w:r w:rsidR="003C2C29" w:rsidRPr="007C5EBB">
        <w:rPr>
          <w:rFonts w:ascii="Times New Roman" w:hAnsi="Times New Roman" w:cs="Times New Roman"/>
          <w:sz w:val="20"/>
          <w:szCs w:val="20"/>
        </w:rPr>
        <w:t xml:space="preserve">3 </w:t>
      </w:r>
      <w:r w:rsidR="002069B1" w:rsidRPr="007C5EBB">
        <w:rPr>
          <w:rFonts w:ascii="Times New Roman" w:hAnsi="Times New Roman" w:cs="Times New Roman"/>
          <w:sz w:val="20"/>
          <w:szCs w:val="20"/>
        </w:rPr>
        <w:t>years ago experienced caries and have untreated decay more than any other time intervals. Participating in the program 1-2 years</w:t>
      </w:r>
      <w:r w:rsidR="003C2C29" w:rsidRPr="007C5EBB">
        <w:rPr>
          <w:rFonts w:ascii="Times New Roman" w:hAnsi="Times New Roman" w:cs="Times New Roman"/>
          <w:sz w:val="20"/>
          <w:szCs w:val="20"/>
        </w:rPr>
        <w:t xml:space="preserve"> ago</w:t>
      </w:r>
      <w:r w:rsidR="002069B1" w:rsidRPr="007C5EBB">
        <w:rPr>
          <w:rFonts w:ascii="Times New Roman" w:hAnsi="Times New Roman" w:cs="Times New Roman"/>
          <w:sz w:val="20"/>
          <w:szCs w:val="20"/>
        </w:rPr>
        <w:t xml:space="preserve"> shows the </w:t>
      </w:r>
      <w:r w:rsidR="002069B1" w:rsidRPr="007C5EBB">
        <w:rPr>
          <w:rFonts w:ascii="Times New Roman" w:hAnsi="Times New Roman" w:cs="Times New Roman"/>
          <w:sz w:val="20"/>
          <w:szCs w:val="20"/>
        </w:rPr>
        <w:lastRenderedPageBreak/>
        <w:t>least amount of caries experience and untreated decay</w:t>
      </w:r>
      <w:r w:rsidR="00FD6B9B" w:rsidRPr="007C5EBB">
        <w:rPr>
          <w:rFonts w:ascii="Times New Roman" w:hAnsi="Times New Roman" w:cs="Times New Roman"/>
          <w:sz w:val="20"/>
          <w:szCs w:val="20"/>
        </w:rPr>
        <w:t xml:space="preserve"> </w:t>
      </w:r>
      <w:r w:rsidR="00E77735" w:rsidRPr="007C5EBB">
        <w:rPr>
          <w:rFonts w:ascii="Times New Roman" w:hAnsi="Times New Roman" w:cs="Times New Roman"/>
          <w:sz w:val="20"/>
          <w:szCs w:val="20"/>
        </w:rPr>
        <w:t>[</w:t>
      </w:r>
      <w:r w:rsidR="00C30AE8" w:rsidRPr="007C5EBB">
        <w:rPr>
          <w:rFonts w:ascii="Times New Roman" w:hAnsi="Times New Roman" w:cs="Times New Roman"/>
          <w:sz w:val="20"/>
          <w:szCs w:val="20"/>
        </w:rPr>
        <w:t>Figure 3</w:t>
      </w:r>
      <w:r w:rsidR="00E77735" w:rsidRPr="007C5EBB">
        <w:rPr>
          <w:rFonts w:ascii="Times New Roman" w:hAnsi="Times New Roman" w:cs="Times New Roman"/>
          <w:sz w:val="20"/>
          <w:szCs w:val="20"/>
        </w:rPr>
        <w:t>]</w:t>
      </w:r>
      <w:r w:rsidR="00757ABB" w:rsidRPr="007C5EBB">
        <w:rPr>
          <w:rFonts w:ascii="Times New Roman" w:hAnsi="Times New Roman" w:cs="Times New Roman"/>
          <w:sz w:val="20"/>
          <w:szCs w:val="20"/>
        </w:rPr>
        <w:t xml:space="preserve">. </w:t>
      </w:r>
      <w:r w:rsidR="00FD6B9B" w:rsidRPr="007C5EBB">
        <w:rPr>
          <w:rFonts w:ascii="Times New Roman" w:hAnsi="Times New Roman" w:cs="Times New Roman"/>
          <w:sz w:val="20"/>
          <w:szCs w:val="20"/>
        </w:rPr>
        <w:t>The more years that have passed since the original participation date, the children have less urgent care; however</w:t>
      </w:r>
      <w:r w:rsidR="003C2C29" w:rsidRPr="007C5EBB">
        <w:rPr>
          <w:rFonts w:ascii="Times New Roman" w:hAnsi="Times New Roman" w:cs="Times New Roman"/>
          <w:sz w:val="20"/>
          <w:szCs w:val="20"/>
        </w:rPr>
        <w:t>,</w:t>
      </w:r>
      <w:r w:rsidR="00FD6B9B" w:rsidRPr="007C5EBB">
        <w:rPr>
          <w:rFonts w:ascii="Times New Roman" w:hAnsi="Times New Roman" w:cs="Times New Roman"/>
          <w:sz w:val="20"/>
          <w:szCs w:val="20"/>
        </w:rPr>
        <w:t xml:space="preserve"> children of parents who participated in the programs within a year have the most need for early</w:t>
      </w:r>
      <w:r w:rsidR="003C2C29" w:rsidRPr="007C5EBB">
        <w:rPr>
          <w:rFonts w:ascii="Times New Roman" w:hAnsi="Times New Roman" w:cs="Times New Roman"/>
          <w:sz w:val="20"/>
          <w:szCs w:val="20"/>
        </w:rPr>
        <w:t xml:space="preserve"> dental</w:t>
      </w:r>
      <w:r w:rsidR="00FD6B9B" w:rsidRPr="007C5EBB">
        <w:rPr>
          <w:rFonts w:ascii="Times New Roman" w:hAnsi="Times New Roman" w:cs="Times New Roman"/>
          <w:sz w:val="20"/>
          <w:szCs w:val="20"/>
        </w:rPr>
        <w:t xml:space="preserve"> care</w:t>
      </w:r>
      <w:r w:rsidR="007843BE" w:rsidRPr="007C5EBB">
        <w:rPr>
          <w:rFonts w:ascii="Times New Roman" w:hAnsi="Times New Roman" w:cs="Times New Roman"/>
          <w:sz w:val="20"/>
          <w:szCs w:val="20"/>
        </w:rPr>
        <w:t xml:space="preserve"> </w:t>
      </w:r>
      <w:r w:rsidR="00E77735" w:rsidRPr="007C5EBB">
        <w:rPr>
          <w:rFonts w:ascii="Times New Roman" w:hAnsi="Times New Roman" w:cs="Times New Roman"/>
          <w:sz w:val="20"/>
          <w:szCs w:val="20"/>
        </w:rPr>
        <w:t>[</w:t>
      </w:r>
      <w:r w:rsidR="00757ABB" w:rsidRPr="007C5EBB">
        <w:rPr>
          <w:rFonts w:ascii="Times New Roman" w:hAnsi="Times New Roman" w:cs="Times New Roman"/>
          <w:sz w:val="20"/>
          <w:szCs w:val="20"/>
        </w:rPr>
        <w:t>Figure 4</w:t>
      </w:r>
      <w:r w:rsidR="00E77735" w:rsidRPr="007C5EBB">
        <w:rPr>
          <w:rFonts w:ascii="Times New Roman" w:hAnsi="Times New Roman" w:cs="Times New Roman"/>
          <w:sz w:val="20"/>
          <w:szCs w:val="20"/>
        </w:rPr>
        <w:t>]</w:t>
      </w:r>
      <w:r w:rsidR="00757ABB" w:rsidRPr="007C5EBB">
        <w:rPr>
          <w:rFonts w:ascii="Times New Roman" w:hAnsi="Times New Roman" w:cs="Times New Roman"/>
          <w:sz w:val="20"/>
          <w:szCs w:val="20"/>
        </w:rPr>
        <w:t xml:space="preserve">. </w:t>
      </w:r>
    </w:p>
    <w:p w14:paraId="451FDAEC" w14:textId="77777777" w:rsidR="00BA3E5F" w:rsidRDefault="00BA3E5F" w:rsidP="004D59A5">
      <w:pPr>
        <w:rPr>
          <w:rFonts w:ascii="Times New Roman" w:hAnsi="Times New Roman" w:cs="Times New Roman"/>
          <w:sz w:val="20"/>
          <w:szCs w:val="20"/>
        </w:rPr>
        <w:sectPr w:rsidR="00BA3E5F" w:rsidSect="00BA3E5F">
          <w:type w:val="continuous"/>
          <w:pgSz w:w="12240" w:h="15840"/>
          <w:pgMar w:top="1440" w:right="1440" w:bottom="1440" w:left="1440" w:header="720" w:footer="720" w:gutter="0"/>
          <w:cols w:num="2" w:space="720"/>
          <w:docGrid w:linePitch="360"/>
        </w:sectPr>
      </w:pPr>
    </w:p>
    <w:p w14:paraId="546E9502" w14:textId="721E6D8B" w:rsidR="00410A16" w:rsidRPr="007C5EBB" w:rsidRDefault="00124984" w:rsidP="004D59A5">
      <w:pPr>
        <w:rPr>
          <w:rFonts w:ascii="Times New Roman" w:hAnsi="Times New Roman" w:cs="Times New Roman"/>
          <w:sz w:val="20"/>
          <w:szCs w:val="20"/>
        </w:rPr>
      </w:pPr>
      <w:r w:rsidRPr="007C5EBB">
        <w:rPr>
          <w:rFonts w:ascii="Times New Roman" w:hAnsi="Times New Roman" w:cs="Times New Roman"/>
          <w:sz w:val="20"/>
          <w:szCs w:val="20"/>
        </w:rPr>
        <w:lastRenderedPageBreak/>
        <w:t xml:space="preserve"> </w:t>
      </w:r>
    </w:p>
    <w:p w14:paraId="31573EE0" w14:textId="77777777" w:rsidR="00410A16" w:rsidRPr="007C5EBB" w:rsidRDefault="00410A16" w:rsidP="004D59A5">
      <w:pPr>
        <w:rPr>
          <w:rFonts w:ascii="Times New Roman" w:hAnsi="Times New Roman" w:cs="Times New Roman"/>
          <w:sz w:val="20"/>
          <w:szCs w:val="20"/>
        </w:rPr>
      </w:pPr>
    </w:p>
    <w:p w14:paraId="7B13E659" w14:textId="77777777" w:rsidR="00410A16" w:rsidRPr="007C5EBB" w:rsidRDefault="00410A16" w:rsidP="004D59A5">
      <w:pPr>
        <w:rPr>
          <w:rFonts w:ascii="Times New Roman" w:hAnsi="Times New Roman" w:cs="Times New Roman"/>
          <w:sz w:val="20"/>
          <w:szCs w:val="20"/>
        </w:rPr>
      </w:pPr>
    </w:p>
    <w:p w14:paraId="4CA73EC1" w14:textId="070B02F6" w:rsidR="004A4F18" w:rsidRPr="007C5EBB" w:rsidRDefault="00C631FD" w:rsidP="00C631FD">
      <w:pPr>
        <w:rPr>
          <w:rFonts w:ascii="Times New Roman" w:hAnsi="Times New Roman" w:cs="Times New Roman"/>
          <w:b/>
          <w:sz w:val="20"/>
          <w:szCs w:val="20"/>
        </w:rPr>
      </w:pPr>
      <w:r w:rsidRPr="007C5EBB">
        <w:rPr>
          <w:rFonts w:ascii="Times New Roman" w:hAnsi="Times New Roman" w:cs="Times New Roman"/>
          <w:b/>
          <w:sz w:val="20"/>
          <w:szCs w:val="20"/>
        </w:rPr>
        <w:t>Figure 3:</w:t>
      </w:r>
      <w:r w:rsidR="004A4F18" w:rsidRPr="007C5EBB">
        <w:rPr>
          <w:rFonts w:ascii="Times New Roman" w:hAnsi="Times New Roman" w:cs="Times New Roman"/>
          <w:b/>
          <w:sz w:val="20"/>
          <w:szCs w:val="20"/>
        </w:rPr>
        <w:t xml:space="preserve"> Oral Health Status of Children of Parents enrolled in WIC / Head Start According to </w:t>
      </w:r>
      <w:r w:rsidR="003C2C29" w:rsidRPr="007C5EBB">
        <w:rPr>
          <w:rFonts w:ascii="Times New Roman" w:hAnsi="Times New Roman" w:cs="Times New Roman"/>
          <w:b/>
          <w:sz w:val="20"/>
          <w:szCs w:val="20"/>
        </w:rPr>
        <w:t xml:space="preserve">a </w:t>
      </w:r>
      <w:r w:rsidR="004A4F18" w:rsidRPr="007C5EBB">
        <w:rPr>
          <w:rFonts w:ascii="Times New Roman" w:hAnsi="Times New Roman" w:cs="Times New Roman"/>
          <w:b/>
          <w:sz w:val="20"/>
          <w:szCs w:val="20"/>
        </w:rPr>
        <w:t xml:space="preserve">Specific Time Interval </w:t>
      </w:r>
    </w:p>
    <w:p w14:paraId="4104D2ED" w14:textId="77777777" w:rsidR="004A4F18" w:rsidRPr="007C5EBB" w:rsidRDefault="004A4F18" w:rsidP="004D59A5">
      <w:pPr>
        <w:rPr>
          <w:rFonts w:ascii="Times New Roman" w:hAnsi="Times New Roman" w:cs="Times New Roman"/>
          <w:sz w:val="20"/>
          <w:szCs w:val="20"/>
        </w:rPr>
      </w:pPr>
    </w:p>
    <w:p w14:paraId="2E4B8B22" w14:textId="3306A67F" w:rsidR="00F30048" w:rsidRPr="007C5EBB" w:rsidRDefault="004263BA" w:rsidP="00FD6B9B">
      <w:pPr>
        <w:jc w:val="center"/>
        <w:rPr>
          <w:rFonts w:ascii="Times New Roman" w:hAnsi="Times New Roman" w:cs="Times New Roman"/>
          <w:sz w:val="20"/>
          <w:szCs w:val="20"/>
        </w:rPr>
      </w:pPr>
      <w:r w:rsidRPr="007C5EBB">
        <w:rPr>
          <w:rFonts w:ascii="Times New Roman" w:hAnsi="Times New Roman" w:cs="Times New Roman"/>
          <w:noProof/>
          <w:sz w:val="20"/>
          <w:szCs w:val="20"/>
        </w:rPr>
        <w:drawing>
          <wp:inline distT="0" distB="0" distL="0" distR="0" wp14:anchorId="38452434" wp14:editId="2221F4EA">
            <wp:extent cx="4591050" cy="2762250"/>
            <wp:effectExtent l="0" t="0" r="6350" b="6350"/>
            <wp:docPr id="6" name="Picture 6" descr="Macintosh HD:Users:VivianHoang:Desktop:OHS(y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VivianHoang:Desktop:OHS(yr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2762250"/>
                    </a:xfrm>
                    <a:prstGeom prst="rect">
                      <a:avLst/>
                    </a:prstGeom>
                    <a:noFill/>
                    <a:ln>
                      <a:noFill/>
                    </a:ln>
                  </pic:spPr>
                </pic:pic>
              </a:graphicData>
            </a:graphic>
          </wp:inline>
        </w:drawing>
      </w:r>
    </w:p>
    <w:p w14:paraId="471F4B21" w14:textId="77777777" w:rsidR="004A4F18" w:rsidRPr="007C5EBB" w:rsidRDefault="004A4F18" w:rsidP="00F30048">
      <w:pPr>
        <w:jc w:val="center"/>
        <w:rPr>
          <w:rFonts w:ascii="Times New Roman" w:hAnsi="Times New Roman" w:cs="Times New Roman"/>
          <w:sz w:val="20"/>
          <w:szCs w:val="20"/>
        </w:rPr>
      </w:pPr>
    </w:p>
    <w:p w14:paraId="169202BD" w14:textId="77777777" w:rsidR="004A4F18" w:rsidRPr="007C5EBB" w:rsidRDefault="004A4F18" w:rsidP="00F30048">
      <w:pPr>
        <w:jc w:val="center"/>
        <w:rPr>
          <w:rFonts w:ascii="Times New Roman" w:hAnsi="Times New Roman" w:cs="Times New Roman"/>
          <w:sz w:val="20"/>
          <w:szCs w:val="20"/>
        </w:rPr>
      </w:pPr>
    </w:p>
    <w:p w14:paraId="7F466077" w14:textId="7CE3FF1F" w:rsidR="004A4F18" w:rsidRPr="007C5EBB" w:rsidRDefault="00322601" w:rsidP="00FD6B9B">
      <w:pPr>
        <w:rPr>
          <w:rFonts w:ascii="Times New Roman" w:hAnsi="Times New Roman" w:cs="Times New Roman"/>
          <w:b/>
          <w:sz w:val="20"/>
          <w:szCs w:val="20"/>
        </w:rPr>
      </w:pPr>
      <w:r w:rsidRPr="007C5EBB">
        <w:rPr>
          <w:rFonts w:ascii="Times New Roman" w:hAnsi="Times New Roman" w:cs="Times New Roman"/>
          <w:b/>
          <w:sz w:val="20"/>
          <w:szCs w:val="20"/>
        </w:rPr>
        <w:t xml:space="preserve">Figure 4: </w:t>
      </w:r>
      <w:r w:rsidR="004A4F18" w:rsidRPr="007C5EBB">
        <w:rPr>
          <w:rFonts w:ascii="Times New Roman" w:hAnsi="Times New Roman" w:cs="Times New Roman"/>
          <w:b/>
          <w:sz w:val="20"/>
          <w:szCs w:val="20"/>
        </w:rPr>
        <w:t xml:space="preserve">Treatment Urgency of Children of Parents enrolled in WIC / Head Start According </w:t>
      </w:r>
      <w:r w:rsidRPr="007C5EBB">
        <w:rPr>
          <w:rFonts w:ascii="Times New Roman" w:hAnsi="Times New Roman" w:cs="Times New Roman"/>
          <w:b/>
          <w:sz w:val="20"/>
          <w:szCs w:val="20"/>
        </w:rPr>
        <w:t>to</w:t>
      </w:r>
      <w:r w:rsidR="00FD6B9B" w:rsidRPr="007C5EBB">
        <w:rPr>
          <w:rFonts w:ascii="Times New Roman" w:hAnsi="Times New Roman" w:cs="Times New Roman"/>
          <w:b/>
          <w:sz w:val="20"/>
          <w:szCs w:val="20"/>
        </w:rPr>
        <w:t xml:space="preserve"> </w:t>
      </w:r>
      <w:r w:rsidR="004A4F18" w:rsidRPr="007C5EBB">
        <w:rPr>
          <w:rFonts w:ascii="Times New Roman" w:hAnsi="Times New Roman" w:cs="Times New Roman"/>
          <w:b/>
          <w:sz w:val="20"/>
          <w:szCs w:val="20"/>
        </w:rPr>
        <w:t>Specific Time Intervals Since Participation Had Occurred</w:t>
      </w:r>
    </w:p>
    <w:p w14:paraId="7A7FC6A7" w14:textId="77777777" w:rsidR="004A4F18" w:rsidRPr="007C5EBB" w:rsidRDefault="004A4F18" w:rsidP="00FD6B9B">
      <w:pPr>
        <w:rPr>
          <w:rFonts w:ascii="Times New Roman" w:hAnsi="Times New Roman" w:cs="Times New Roman"/>
          <w:sz w:val="20"/>
          <w:szCs w:val="20"/>
        </w:rPr>
      </w:pPr>
    </w:p>
    <w:p w14:paraId="18BDCBEB" w14:textId="62687BAE" w:rsidR="00C30AE8" w:rsidRPr="007C5EBB" w:rsidRDefault="004263BA" w:rsidP="004263BA">
      <w:pPr>
        <w:jc w:val="center"/>
        <w:rPr>
          <w:rFonts w:ascii="Times New Roman" w:hAnsi="Times New Roman" w:cs="Times New Roman"/>
          <w:sz w:val="20"/>
          <w:szCs w:val="20"/>
        </w:rPr>
      </w:pPr>
      <w:r w:rsidRPr="007C5EBB">
        <w:rPr>
          <w:rFonts w:ascii="Times New Roman" w:hAnsi="Times New Roman" w:cs="Times New Roman"/>
          <w:noProof/>
          <w:sz w:val="20"/>
          <w:szCs w:val="20"/>
        </w:rPr>
        <w:drawing>
          <wp:inline distT="0" distB="0" distL="0" distR="0" wp14:anchorId="1FD572F0" wp14:editId="105E90F4">
            <wp:extent cx="5428615" cy="2810510"/>
            <wp:effectExtent l="0" t="0" r="6985" b="8890"/>
            <wp:docPr id="7" name="Picture 7" descr="Macintosh HD:Users:VivianHoang:Desktop:TU(y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VivianHoang:Desktop:TU(yr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28615" cy="2810510"/>
                    </a:xfrm>
                    <a:prstGeom prst="rect">
                      <a:avLst/>
                    </a:prstGeom>
                    <a:noFill/>
                    <a:ln>
                      <a:noFill/>
                    </a:ln>
                  </pic:spPr>
                </pic:pic>
              </a:graphicData>
            </a:graphic>
          </wp:inline>
        </w:drawing>
      </w:r>
    </w:p>
    <w:p w14:paraId="07B471E1" w14:textId="77777777" w:rsidR="00345BE0" w:rsidRPr="007C5EBB" w:rsidRDefault="00345BE0" w:rsidP="004D59A5">
      <w:pPr>
        <w:rPr>
          <w:rFonts w:ascii="Times New Roman" w:hAnsi="Times New Roman" w:cs="Times New Roman"/>
          <w:sz w:val="20"/>
          <w:szCs w:val="20"/>
        </w:rPr>
      </w:pPr>
    </w:p>
    <w:p w14:paraId="139AC536" w14:textId="77777777" w:rsidR="000170AF" w:rsidRPr="007C5EBB" w:rsidRDefault="000170AF" w:rsidP="000170AF">
      <w:pPr>
        <w:rPr>
          <w:sz w:val="20"/>
          <w:szCs w:val="20"/>
        </w:rPr>
      </w:pPr>
    </w:p>
    <w:p w14:paraId="49EFC47E" w14:textId="77777777" w:rsidR="004A4F18" w:rsidRPr="007C5EBB" w:rsidRDefault="004A4F18" w:rsidP="004D59A5">
      <w:pPr>
        <w:rPr>
          <w:rFonts w:ascii="Times New Roman" w:hAnsi="Times New Roman" w:cs="Times New Roman"/>
          <w:sz w:val="20"/>
          <w:szCs w:val="20"/>
        </w:rPr>
      </w:pPr>
    </w:p>
    <w:p w14:paraId="4BCBBEF6" w14:textId="77777777" w:rsidR="006466AD" w:rsidRDefault="006466AD" w:rsidP="004D59A5">
      <w:pPr>
        <w:rPr>
          <w:rFonts w:ascii="Times New Roman" w:hAnsi="Times New Roman" w:cs="Times New Roman"/>
          <w:b/>
          <w:sz w:val="20"/>
          <w:szCs w:val="20"/>
        </w:rPr>
        <w:sectPr w:rsidR="006466AD" w:rsidSect="007C5EBB">
          <w:type w:val="continuous"/>
          <w:pgSz w:w="12240" w:h="15840"/>
          <w:pgMar w:top="1440" w:right="1440" w:bottom="1440" w:left="1440" w:header="720" w:footer="720" w:gutter="0"/>
          <w:cols w:space="720"/>
          <w:docGrid w:linePitch="360"/>
        </w:sectPr>
      </w:pPr>
    </w:p>
    <w:p w14:paraId="3BE5A774" w14:textId="725BEE24" w:rsidR="00F345F7" w:rsidRDefault="006466AD" w:rsidP="004D59A5">
      <w:pPr>
        <w:rPr>
          <w:rFonts w:ascii="Times New Roman" w:hAnsi="Times New Roman" w:cs="Times New Roman"/>
          <w:b/>
          <w:sz w:val="20"/>
          <w:szCs w:val="20"/>
        </w:rPr>
      </w:pPr>
      <w:r>
        <w:rPr>
          <w:rFonts w:ascii="Times New Roman" w:hAnsi="Times New Roman" w:cs="Times New Roman"/>
          <w:b/>
          <w:sz w:val="20"/>
          <w:szCs w:val="20"/>
        </w:rPr>
        <w:lastRenderedPageBreak/>
        <w:t>DISCUSSION</w:t>
      </w:r>
    </w:p>
    <w:p w14:paraId="5940EE7B" w14:textId="77777777" w:rsidR="00565E9C" w:rsidRPr="007C5EBB" w:rsidRDefault="00565E9C" w:rsidP="004D59A5">
      <w:pPr>
        <w:rPr>
          <w:rFonts w:ascii="Times New Roman" w:hAnsi="Times New Roman" w:cs="Times New Roman"/>
          <w:b/>
          <w:sz w:val="20"/>
          <w:szCs w:val="20"/>
        </w:rPr>
      </w:pPr>
    </w:p>
    <w:p w14:paraId="08DCDE1F" w14:textId="003F5CDF" w:rsidR="00720429" w:rsidRPr="0086095C" w:rsidRDefault="0086095C" w:rsidP="00B73DD3">
      <w:pPr>
        <w:rPr>
          <w:rFonts w:ascii="Times New Roman" w:hAnsi="Times New Roman" w:cs="Times New Roman"/>
          <w:sz w:val="20"/>
          <w:szCs w:val="20"/>
        </w:rPr>
      </w:pPr>
      <w:r>
        <w:rPr>
          <w:rFonts w:ascii="Times New Roman" w:hAnsi="Times New Roman" w:cs="Times New Roman"/>
          <w:sz w:val="20"/>
          <w:szCs w:val="20"/>
        </w:rPr>
        <w:t xml:space="preserve">      </w:t>
      </w:r>
      <w:r w:rsidR="00F345F7" w:rsidRPr="007C5EBB">
        <w:rPr>
          <w:rFonts w:ascii="Times New Roman" w:hAnsi="Times New Roman" w:cs="Times New Roman"/>
          <w:sz w:val="20"/>
          <w:szCs w:val="20"/>
        </w:rPr>
        <w:t xml:space="preserve">Dental caries </w:t>
      </w:r>
      <w:r w:rsidR="0025478E" w:rsidRPr="007C5EBB">
        <w:rPr>
          <w:rFonts w:ascii="Times New Roman" w:hAnsi="Times New Roman" w:cs="Times New Roman"/>
          <w:sz w:val="20"/>
          <w:szCs w:val="20"/>
        </w:rPr>
        <w:t xml:space="preserve">has been </w:t>
      </w:r>
      <w:r w:rsidR="00F345F7" w:rsidRPr="007C5EBB">
        <w:rPr>
          <w:rFonts w:ascii="Times New Roman" w:hAnsi="Times New Roman" w:cs="Times New Roman"/>
          <w:sz w:val="20"/>
          <w:szCs w:val="20"/>
        </w:rPr>
        <w:t xml:space="preserve">on the rise in the United States among children, especially in low </w:t>
      </w:r>
      <w:r w:rsidR="00E4464A" w:rsidRPr="007C5EBB">
        <w:rPr>
          <w:rFonts w:ascii="Times New Roman" w:hAnsi="Times New Roman" w:cs="Times New Roman"/>
          <w:sz w:val="20"/>
          <w:szCs w:val="20"/>
        </w:rPr>
        <w:t>– income</w:t>
      </w:r>
      <w:r w:rsidR="00F345F7" w:rsidRPr="007C5EBB">
        <w:rPr>
          <w:rFonts w:ascii="Times New Roman" w:hAnsi="Times New Roman" w:cs="Times New Roman"/>
          <w:sz w:val="20"/>
          <w:szCs w:val="20"/>
        </w:rPr>
        <w:t xml:space="preserve"> population</w:t>
      </w:r>
      <w:r w:rsidR="004E0998" w:rsidRPr="007C5EBB">
        <w:rPr>
          <w:rFonts w:ascii="Times New Roman" w:hAnsi="Times New Roman" w:cs="Times New Roman"/>
          <w:sz w:val="20"/>
          <w:szCs w:val="20"/>
        </w:rPr>
        <w:t>s</w:t>
      </w:r>
      <w:r w:rsidR="00C86763" w:rsidRPr="007C5EBB">
        <w:rPr>
          <w:rFonts w:ascii="Times New Roman" w:hAnsi="Times New Roman" w:cs="Times New Roman"/>
          <w:sz w:val="20"/>
          <w:szCs w:val="20"/>
        </w:rPr>
        <w:t xml:space="preserve">, and </w:t>
      </w:r>
      <w:r w:rsidR="000A7F60" w:rsidRPr="007C5EBB">
        <w:rPr>
          <w:rFonts w:ascii="Times New Roman" w:hAnsi="Times New Roman" w:cs="Times New Roman"/>
          <w:sz w:val="20"/>
          <w:szCs w:val="20"/>
        </w:rPr>
        <w:t xml:space="preserve">many programs, such as WIC and </w:t>
      </w:r>
      <w:r w:rsidR="000A7F60" w:rsidRPr="007C5EBB">
        <w:rPr>
          <w:rFonts w:ascii="Times New Roman" w:hAnsi="Times New Roman" w:cs="Times New Roman"/>
          <w:sz w:val="20"/>
          <w:szCs w:val="20"/>
        </w:rPr>
        <w:lastRenderedPageBreak/>
        <w:t>Head Start,</w:t>
      </w:r>
      <w:r w:rsidR="005E0060" w:rsidRPr="007C5EBB">
        <w:rPr>
          <w:rFonts w:ascii="Times New Roman" w:hAnsi="Times New Roman" w:cs="Times New Roman"/>
          <w:sz w:val="20"/>
          <w:szCs w:val="20"/>
        </w:rPr>
        <w:t xml:space="preserve"> educate</w:t>
      </w:r>
      <w:r w:rsidR="0025478E" w:rsidRPr="007C5EBB">
        <w:rPr>
          <w:rFonts w:ascii="Times New Roman" w:hAnsi="Times New Roman" w:cs="Times New Roman"/>
          <w:sz w:val="20"/>
          <w:szCs w:val="20"/>
        </w:rPr>
        <w:t xml:space="preserve"> families</w:t>
      </w:r>
      <w:r w:rsidR="005E0060" w:rsidRPr="007C5EBB">
        <w:rPr>
          <w:rFonts w:ascii="Times New Roman" w:hAnsi="Times New Roman" w:cs="Times New Roman"/>
          <w:sz w:val="20"/>
          <w:szCs w:val="20"/>
        </w:rPr>
        <w:t xml:space="preserve"> on good oral health practices</w:t>
      </w:r>
      <w:r w:rsidR="00F408EE" w:rsidRPr="007C5EBB">
        <w:rPr>
          <w:rFonts w:ascii="Times New Roman" w:hAnsi="Times New Roman" w:cs="Times New Roman"/>
          <w:sz w:val="20"/>
          <w:szCs w:val="20"/>
        </w:rPr>
        <w:t xml:space="preserve"> to help reduce the oral health burden in this population</w:t>
      </w:r>
      <w:r w:rsidR="005E0060" w:rsidRPr="007C5EBB">
        <w:rPr>
          <w:rFonts w:ascii="Times New Roman" w:hAnsi="Times New Roman" w:cs="Times New Roman"/>
          <w:sz w:val="20"/>
          <w:szCs w:val="20"/>
        </w:rPr>
        <w:t xml:space="preserve">. </w:t>
      </w:r>
      <w:r w:rsidR="00C86763" w:rsidRPr="007C5EBB">
        <w:rPr>
          <w:rFonts w:ascii="Times New Roman" w:hAnsi="Times New Roman" w:cs="Times New Roman"/>
          <w:sz w:val="20"/>
          <w:szCs w:val="20"/>
        </w:rPr>
        <w:t>Previous studies have shown that WIC and Head Start oral health practices have</w:t>
      </w:r>
      <w:r w:rsidR="0025478E" w:rsidRPr="007C5EBB">
        <w:rPr>
          <w:rFonts w:ascii="Times New Roman" w:hAnsi="Times New Roman" w:cs="Times New Roman"/>
          <w:sz w:val="20"/>
          <w:szCs w:val="20"/>
        </w:rPr>
        <w:t xml:space="preserve"> had</w:t>
      </w:r>
      <w:r w:rsidR="00C86763" w:rsidRPr="007C5EBB">
        <w:rPr>
          <w:rFonts w:ascii="Times New Roman" w:hAnsi="Times New Roman" w:cs="Times New Roman"/>
          <w:sz w:val="20"/>
          <w:szCs w:val="20"/>
        </w:rPr>
        <w:t xml:space="preserve"> a positive influence on th</w:t>
      </w:r>
      <w:r w:rsidR="000A7F60" w:rsidRPr="007C5EBB">
        <w:rPr>
          <w:rFonts w:ascii="Times New Roman" w:hAnsi="Times New Roman" w:cs="Times New Roman"/>
          <w:sz w:val="20"/>
          <w:szCs w:val="20"/>
        </w:rPr>
        <w:t xml:space="preserve">eir participants; therefore, </w:t>
      </w:r>
      <w:r w:rsidR="00C86763" w:rsidRPr="007C5EBB">
        <w:rPr>
          <w:rFonts w:ascii="Times New Roman" w:hAnsi="Times New Roman" w:cs="Times New Roman"/>
          <w:sz w:val="20"/>
          <w:szCs w:val="20"/>
        </w:rPr>
        <w:lastRenderedPageBreak/>
        <w:t>participants</w:t>
      </w:r>
      <w:r w:rsidR="000A7F60" w:rsidRPr="007C5EBB">
        <w:rPr>
          <w:rFonts w:ascii="Times New Roman" w:hAnsi="Times New Roman" w:cs="Times New Roman"/>
          <w:sz w:val="20"/>
          <w:szCs w:val="20"/>
        </w:rPr>
        <w:t xml:space="preserve"> in this study</w:t>
      </w:r>
      <w:r w:rsidR="00C86763" w:rsidRPr="007C5EBB">
        <w:rPr>
          <w:rFonts w:ascii="Times New Roman" w:hAnsi="Times New Roman" w:cs="Times New Roman"/>
          <w:sz w:val="20"/>
          <w:szCs w:val="20"/>
        </w:rPr>
        <w:t xml:space="preserve"> should have</w:t>
      </w:r>
      <w:r w:rsidR="0025478E" w:rsidRPr="007C5EBB">
        <w:rPr>
          <w:rFonts w:ascii="Times New Roman" w:hAnsi="Times New Roman" w:cs="Times New Roman"/>
          <w:sz w:val="20"/>
          <w:szCs w:val="20"/>
        </w:rPr>
        <w:t xml:space="preserve"> presented with</w:t>
      </w:r>
      <w:r w:rsidR="00C86763" w:rsidRPr="007C5EBB">
        <w:rPr>
          <w:rFonts w:ascii="Times New Roman" w:hAnsi="Times New Roman" w:cs="Times New Roman"/>
          <w:sz w:val="20"/>
          <w:szCs w:val="20"/>
        </w:rPr>
        <w:t xml:space="preserve"> less untreated </w:t>
      </w:r>
      <w:r w:rsidR="005E0060" w:rsidRPr="007C5EBB">
        <w:rPr>
          <w:rFonts w:ascii="Times New Roman" w:hAnsi="Times New Roman" w:cs="Times New Roman"/>
          <w:sz w:val="20"/>
          <w:szCs w:val="20"/>
        </w:rPr>
        <w:t>decay and less urgent</w:t>
      </w:r>
      <w:r w:rsidR="007A2B4A" w:rsidRPr="007C5EBB">
        <w:rPr>
          <w:rFonts w:ascii="Times New Roman" w:hAnsi="Times New Roman" w:cs="Times New Roman"/>
          <w:sz w:val="20"/>
          <w:szCs w:val="20"/>
        </w:rPr>
        <w:t xml:space="preserve"> care needs.</w:t>
      </w:r>
      <w:r w:rsidR="000A7F60" w:rsidRPr="007C5EBB">
        <w:rPr>
          <w:rFonts w:ascii="Times New Roman" w:hAnsi="Times New Roman" w:cs="Times New Roman"/>
          <w:sz w:val="20"/>
          <w:szCs w:val="20"/>
        </w:rPr>
        <w:t xml:space="preserve"> </w:t>
      </w:r>
    </w:p>
    <w:p w14:paraId="0E0A4ED9" w14:textId="6E08A5B7" w:rsidR="002952A4" w:rsidRPr="007C5EBB" w:rsidRDefault="0086095C" w:rsidP="00EE025F">
      <w:pPr>
        <w:rPr>
          <w:rFonts w:ascii="Times New Roman" w:hAnsi="Times New Roman" w:cs="Times New Roman"/>
          <w:sz w:val="20"/>
          <w:szCs w:val="20"/>
        </w:rPr>
      </w:pPr>
      <w:r>
        <w:rPr>
          <w:rFonts w:ascii="Times New Roman" w:hAnsi="Times New Roman" w:cs="Times New Roman"/>
          <w:sz w:val="20"/>
          <w:szCs w:val="20"/>
        </w:rPr>
        <w:t xml:space="preserve">      </w:t>
      </w:r>
      <w:r w:rsidR="0025478E" w:rsidRPr="007C5EBB">
        <w:rPr>
          <w:rFonts w:ascii="Times New Roman" w:hAnsi="Times New Roman" w:cs="Times New Roman"/>
          <w:sz w:val="20"/>
          <w:szCs w:val="20"/>
        </w:rPr>
        <w:t>T</w:t>
      </w:r>
      <w:r w:rsidR="001327CD" w:rsidRPr="007C5EBB">
        <w:rPr>
          <w:rFonts w:ascii="Times New Roman" w:hAnsi="Times New Roman" w:cs="Times New Roman"/>
          <w:sz w:val="20"/>
          <w:szCs w:val="20"/>
        </w:rPr>
        <w:t xml:space="preserve">his study </w:t>
      </w:r>
      <w:r w:rsidR="00C36FE5" w:rsidRPr="007C5EBB">
        <w:rPr>
          <w:rFonts w:ascii="Times New Roman" w:hAnsi="Times New Roman" w:cs="Times New Roman"/>
          <w:sz w:val="20"/>
          <w:szCs w:val="20"/>
        </w:rPr>
        <w:t xml:space="preserve">compared the oral </w:t>
      </w:r>
      <w:r w:rsidR="00056A86" w:rsidRPr="007C5EBB">
        <w:rPr>
          <w:rFonts w:ascii="Times New Roman" w:hAnsi="Times New Roman" w:cs="Times New Roman"/>
          <w:sz w:val="20"/>
          <w:szCs w:val="20"/>
        </w:rPr>
        <w:t xml:space="preserve">health </w:t>
      </w:r>
      <w:r w:rsidR="00C36FE5" w:rsidRPr="007C5EBB">
        <w:rPr>
          <w:rFonts w:ascii="Times New Roman" w:hAnsi="Times New Roman" w:cs="Times New Roman"/>
          <w:sz w:val="20"/>
          <w:szCs w:val="20"/>
        </w:rPr>
        <w:t>status and treatment urgency among children who</w:t>
      </w:r>
      <w:r w:rsidR="00124984" w:rsidRPr="007C5EBB">
        <w:rPr>
          <w:rFonts w:ascii="Times New Roman" w:hAnsi="Times New Roman" w:cs="Times New Roman"/>
          <w:sz w:val="20"/>
          <w:szCs w:val="20"/>
        </w:rPr>
        <w:t xml:space="preserve"> participated in an oral health education program through WIC or Head Start</w:t>
      </w:r>
      <w:r w:rsidR="00C36FE5" w:rsidRPr="007C5EBB">
        <w:rPr>
          <w:rFonts w:ascii="Times New Roman" w:hAnsi="Times New Roman" w:cs="Times New Roman"/>
          <w:sz w:val="20"/>
          <w:szCs w:val="20"/>
        </w:rPr>
        <w:t xml:space="preserve"> less than 1 year ago, 1-2 years ago, 2-3 years ago, and more than 3 years ago. </w:t>
      </w:r>
      <w:r w:rsidR="00B4782B" w:rsidRPr="007C5EBB">
        <w:rPr>
          <w:rFonts w:ascii="Times New Roman" w:hAnsi="Times New Roman" w:cs="Times New Roman"/>
          <w:sz w:val="20"/>
          <w:szCs w:val="20"/>
        </w:rPr>
        <w:t xml:space="preserve">The findings </w:t>
      </w:r>
      <w:r w:rsidR="00E940EC" w:rsidRPr="007C5EBB">
        <w:rPr>
          <w:rFonts w:ascii="Times New Roman" w:hAnsi="Times New Roman" w:cs="Times New Roman"/>
          <w:sz w:val="20"/>
          <w:szCs w:val="20"/>
        </w:rPr>
        <w:t>indicated</w:t>
      </w:r>
      <w:r w:rsidR="00B4782B" w:rsidRPr="007C5EBB">
        <w:rPr>
          <w:rFonts w:ascii="Times New Roman" w:hAnsi="Times New Roman" w:cs="Times New Roman"/>
          <w:sz w:val="20"/>
          <w:szCs w:val="20"/>
        </w:rPr>
        <w:t xml:space="preserve"> that children of parents participating in a WIC or Head Start program had the highest rate of untreated decay if they participated less than 1 year ago or more than 3 years ago. </w:t>
      </w:r>
      <w:r w:rsidR="006C273E" w:rsidRPr="007C5EBB">
        <w:rPr>
          <w:rFonts w:ascii="Times New Roman" w:hAnsi="Times New Roman" w:cs="Times New Roman"/>
          <w:sz w:val="20"/>
          <w:szCs w:val="20"/>
        </w:rPr>
        <w:t>Treatment urgency showed great variance between post participation</w:t>
      </w:r>
      <w:r w:rsidR="002952A4" w:rsidRPr="007C5EBB">
        <w:rPr>
          <w:rFonts w:ascii="Times New Roman" w:hAnsi="Times New Roman" w:cs="Times New Roman"/>
          <w:sz w:val="20"/>
          <w:szCs w:val="20"/>
        </w:rPr>
        <w:t xml:space="preserve"> intervals</w:t>
      </w:r>
      <w:r w:rsidR="006C273E" w:rsidRPr="007C5EBB">
        <w:rPr>
          <w:rFonts w:ascii="Times New Roman" w:hAnsi="Times New Roman" w:cs="Times New Roman"/>
          <w:sz w:val="20"/>
          <w:szCs w:val="20"/>
        </w:rPr>
        <w:t xml:space="preserve"> in the educational program. The results showed that there was a higher prevalence of early dental care needs if the parent participated less than 1 year ago or more than 3 years ago</w:t>
      </w:r>
      <w:r w:rsidR="002952A4" w:rsidRPr="007C5EBB">
        <w:rPr>
          <w:rFonts w:ascii="Times New Roman" w:hAnsi="Times New Roman" w:cs="Times New Roman"/>
          <w:sz w:val="20"/>
          <w:szCs w:val="20"/>
        </w:rPr>
        <w:t xml:space="preserve"> compared to those who participated 1 to 2 years ago</w:t>
      </w:r>
      <w:r w:rsidR="006C273E" w:rsidRPr="007C5EBB">
        <w:rPr>
          <w:rFonts w:ascii="Times New Roman" w:hAnsi="Times New Roman" w:cs="Times New Roman"/>
          <w:sz w:val="20"/>
          <w:szCs w:val="20"/>
        </w:rPr>
        <w:t>.</w:t>
      </w:r>
      <w:r w:rsidR="006264BE" w:rsidRPr="007C5EBB">
        <w:rPr>
          <w:rFonts w:ascii="Times New Roman" w:hAnsi="Times New Roman" w:cs="Times New Roman"/>
          <w:sz w:val="20"/>
          <w:szCs w:val="20"/>
        </w:rPr>
        <w:t xml:space="preserve"> </w:t>
      </w:r>
      <w:proofErr w:type="gramStart"/>
      <w:r w:rsidR="006264BE" w:rsidRPr="007C5EBB">
        <w:rPr>
          <w:rFonts w:ascii="Times New Roman" w:hAnsi="Times New Roman" w:cs="Times New Roman"/>
          <w:sz w:val="20"/>
          <w:szCs w:val="20"/>
        </w:rPr>
        <w:t>F</w:t>
      </w:r>
      <w:r w:rsidR="006C273E" w:rsidRPr="007C5EBB">
        <w:rPr>
          <w:rFonts w:ascii="Times New Roman" w:hAnsi="Times New Roman" w:cs="Times New Roman"/>
          <w:sz w:val="20"/>
          <w:szCs w:val="20"/>
        </w:rPr>
        <w:t>indings  suggest</w:t>
      </w:r>
      <w:r w:rsidR="00AD5FAA" w:rsidRPr="007C5EBB">
        <w:rPr>
          <w:rFonts w:ascii="Times New Roman" w:hAnsi="Times New Roman" w:cs="Times New Roman"/>
          <w:sz w:val="20"/>
          <w:szCs w:val="20"/>
        </w:rPr>
        <w:t>ed</w:t>
      </w:r>
      <w:proofErr w:type="gramEnd"/>
      <w:r w:rsidR="006C273E" w:rsidRPr="007C5EBB">
        <w:rPr>
          <w:rFonts w:ascii="Times New Roman" w:hAnsi="Times New Roman" w:cs="Times New Roman"/>
          <w:sz w:val="20"/>
          <w:szCs w:val="20"/>
        </w:rPr>
        <w:t xml:space="preserve"> that more frequent intervals of presentations should be offered to this population in order to improve the oral health status of the children since urgent care decreased with time and then increased after 2-3 years with an even greater increase at more than 3 years post program participation. </w:t>
      </w:r>
      <w:r w:rsidR="002952A4" w:rsidRPr="007C5EBB">
        <w:rPr>
          <w:rFonts w:ascii="Times New Roman" w:hAnsi="Times New Roman" w:cs="Times New Roman"/>
          <w:sz w:val="20"/>
          <w:szCs w:val="20"/>
        </w:rPr>
        <w:t xml:space="preserve"> This suggested that </w:t>
      </w:r>
      <w:r w:rsidR="001327CD" w:rsidRPr="007C5EBB">
        <w:rPr>
          <w:rFonts w:ascii="Times New Roman" w:hAnsi="Times New Roman" w:cs="Times New Roman"/>
          <w:sz w:val="20"/>
          <w:szCs w:val="20"/>
        </w:rPr>
        <w:t xml:space="preserve">those who </w:t>
      </w:r>
      <w:r w:rsidR="00E95575" w:rsidRPr="007C5EBB">
        <w:rPr>
          <w:rFonts w:ascii="Times New Roman" w:hAnsi="Times New Roman" w:cs="Times New Roman"/>
          <w:sz w:val="20"/>
          <w:szCs w:val="20"/>
        </w:rPr>
        <w:t xml:space="preserve">had </w:t>
      </w:r>
      <w:r w:rsidR="001327CD" w:rsidRPr="007C5EBB">
        <w:rPr>
          <w:rFonts w:ascii="Times New Roman" w:hAnsi="Times New Roman" w:cs="Times New Roman"/>
          <w:sz w:val="20"/>
          <w:szCs w:val="20"/>
        </w:rPr>
        <w:t xml:space="preserve">participated over 3 years ago could have </w:t>
      </w:r>
      <w:r w:rsidR="00AD5FAA" w:rsidRPr="007C5EBB">
        <w:rPr>
          <w:rFonts w:ascii="Times New Roman" w:hAnsi="Times New Roman" w:cs="Times New Roman"/>
          <w:sz w:val="20"/>
          <w:szCs w:val="20"/>
        </w:rPr>
        <w:t>experienced</w:t>
      </w:r>
      <w:r w:rsidR="001327CD" w:rsidRPr="007C5EBB">
        <w:rPr>
          <w:rFonts w:ascii="Times New Roman" w:hAnsi="Times New Roman" w:cs="Times New Roman"/>
          <w:sz w:val="20"/>
          <w:szCs w:val="20"/>
        </w:rPr>
        <w:t xml:space="preserve"> </w:t>
      </w:r>
      <w:r w:rsidR="00985998" w:rsidRPr="007C5EBB">
        <w:rPr>
          <w:rFonts w:ascii="Times New Roman" w:hAnsi="Times New Roman" w:cs="Times New Roman"/>
          <w:sz w:val="20"/>
          <w:szCs w:val="20"/>
        </w:rPr>
        <w:t>recurrent</w:t>
      </w:r>
      <w:r w:rsidR="001327CD" w:rsidRPr="007C5EBB">
        <w:rPr>
          <w:rFonts w:ascii="Times New Roman" w:hAnsi="Times New Roman" w:cs="Times New Roman"/>
          <w:sz w:val="20"/>
          <w:szCs w:val="20"/>
        </w:rPr>
        <w:t xml:space="preserve"> caries and ha</w:t>
      </w:r>
      <w:r w:rsidR="002952A4" w:rsidRPr="007C5EBB">
        <w:rPr>
          <w:rFonts w:ascii="Times New Roman" w:hAnsi="Times New Roman" w:cs="Times New Roman"/>
          <w:sz w:val="20"/>
          <w:szCs w:val="20"/>
        </w:rPr>
        <w:t>d</w:t>
      </w:r>
      <w:r w:rsidR="001327CD" w:rsidRPr="007C5EBB">
        <w:rPr>
          <w:rFonts w:ascii="Times New Roman" w:hAnsi="Times New Roman" w:cs="Times New Roman"/>
          <w:sz w:val="20"/>
          <w:szCs w:val="20"/>
        </w:rPr>
        <w:t xml:space="preserve"> forgotten important practices since participating in the program</w:t>
      </w:r>
      <w:r w:rsidR="00E95575" w:rsidRPr="007C5EBB">
        <w:rPr>
          <w:rFonts w:ascii="Times New Roman" w:hAnsi="Times New Roman" w:cs="Times New Roman"/>
          <w:sz w:val="20"/>
          <w:szCs w:val="20"/>
        </w:rPr>
        <w:t xml:space="preserve"> because there was no ongoing access to repetitive practices or education</w:t>
      </w:r>
      <w:r w:rsidR="001327CD" w:rsidRPr="007C5EBB">
        <w:rPr>
          <w:rFonts w:ascii="Times New Roman" w:hAnsi="Times New Roman" w:cs="Times New Roman"/>
          <w:sz w:val="20"/>
          <w:szCs w:val="20"/>
        </w:rPr>
        <w:t xml:space="preserve">. </w:t>
      </w:r>
    </w:p>
    <w:p w14:paraId="5E91FC37" w14:textId="55A6F3B4" w:rsidR="00E940EC" w:rsidRPr="007C5EBB" w:rsidRDefault="0086095C" w:rsidP="00E940EC">
      <w:pPr>
        <w:rPr>
          <w:rFonts w:ascii="Times New Roman" w:hAnsi="Times New Roman" w:cs="Times New Roman"/>
          <w:sz w:val="20"/>
          <w:szCs w:val="20"/>
        </w:rPr>
      </w:pPr>
      <w:r>
        <w:rPr>
          <w:rFonts w:ascii="Times New Roman" w:hAnsi="Times New Roman" w:cs="Times New Roman"/>
          <w:sz w:val="20"/>
          <w:szCs w:val="20"/>
        </w:rPr>
        <w:t xml:space="preserve">      </w:t>
      </w:r>
      <w:r w:rsidR="00E940EC" w:rsidRPr="007C5EBB">
        <w:rPr>
          <w:rFonts w:ascii="Times New Roman" w:hAnsi="Times New Roman" w:cs="Times New Roman"/>
          <w:sz w:val="20"/>
          <w:szCs w:val="20"/>
        </w:rPr>
        <w:t xml:space="preserve">There have been few studies examining dental disease in the 6 to 9 year age group in the State of Nevada. This study showed that the children of parents who did not participate in either WIC or Head Start had less untreated decay and less need for urgent care. </w:t>
      </w:r>
      <w:r w:rsidR="002952A4" w:rsidRPr="007C5EBB">
        <w:rPr>
          <w:rFonts w:ascii="Times New Roman" w:hAnsi="Times New Roman" w:cs="Times New Roman"/>
          <w:sz w:val="20"/>
          <w:szCs w:val="20"/>
        </w:rPr>
        <w:t xml:space="preserve">The findings </w:t>
      </w:r>
      <w:r w:rsidR="00E940EC" w:rsidRPr="007C5EBB">
        <w:rPr>
          <w:rFonts w:ascii="Times New Roman" w:hAnsi="Times New Roman" w:cs="Times New Roman"/>
          <w:sz w:val="20"/>
          <w:szCs w:val="20"/>
        </w:rPr>
        <w:t>suggest</w:t>
      </w:r>
      <w:r w:rsidR="002952A4" w:rsidRPr="007C5EBB">
        <w:rPr>
          <w:rFonts w:ascii="Times New Roman" w:hAnsi="Times New Roman" w:cs="Times New Roman"/>
          <w:sz w:val="20"/>
          <w:szCs w:val="20"/>
        </w:rPr>
        <w:t>ed</w:t>
      </w:r>
      <w:r w:rsidR="00E940EC" w:rsidRPr="007C5EBB">
        <w:rPr>
          <w:rFonts w:ascii="Times New Roman" w:hAnsi="Times New Roman" w:cs="Times New Roman"/>
          <w:sz w:val="20"/>
          <w:szCs w:val="20"/>
        </w:rPr>
        <w:t xml:space="preserve"> that the content of the oral health presentations in these programs may not have addressed some of the Social Determinants of Health that affect this population (Crum, 2013). Social determinants such as access to a grocery store with nutritious food options, public transportation, and access to a dental provider may have prevented the parents from fully implementing what they learned in the educational program. </w:t>
      </w:r>
    </w:p>
    <w:p w14:paraId="13BAD64D" w14:textId="30247D90" w:rsidR="00F345F7" w:rsidRPr="0086095C" w:rsidRDefault="0086095C" w:rsidP="004D59A5">
      <w:pPr>
        <w:rPr>
          <w:rFonts w:ascii="Times New Roman" w:hAnsi="Times New Roman" w:cs="Times New Roman"/>
          <w:sz w:val="20"/>
          <w:szCs w:val="20"/>
        </w:rPr>
      </w:pPr>
      <w:r>
        <w:rPr>
          <w:rFonts w:ascii="Times New Roman" w:hAnsi="Times New Roman" w:cs="Times New Roman"/>
          <w:sz w:val="20"/>
          <w:szCs w:val="20"/>
        </w:rPr>
        <w:t xml:space="preserve">      </w:t>
      </w:r>
      <w:r w:rsidR="00E940EC" w:rsidRPr="007C5EBB">
        <w:rPr>
          <w:rFonts w:ascii="Times New Roman" w:hAnsi="Times New Roman" w:cs="Times New Roman"/>
          <w:sz w:val="20"/>
          <w:szCs w:val="20"/>
        </w:rPr>
        <w:t>Findings further suggested that not only the frequency, but also content of the oral health presentations could help increase the awareness of good oral health practices for children and families. Repeated encounters with evidence-based educational information from a diverse group of providers may also increase the opportunities to retain the information that is presented. Parents need to follow up with dental providers to create a dental home for their child and to reinforce daily home oral hygiene regimens</w:t>
      </w:r>
      <w:r w:rsidR="00FC0862" w:rsidRPr="007C5EBB">
        <w:rPr>
          <w:rFonts w:ascii="Times New Roman" w:hAnsi="Times New Roman" w:cs="Times New Roman"/>
          <w:sz w:val="20"/>
          <w:szCs w:val="20"/>
        </w:rPr>
        <w:t>.</w:t>
      </w:r>
      <w:r w:rsidR="00E940EC" w:rsidRPr="007C5EBB">
        <w:rPr>
          <w:rFonts w:ascii="Times New Roman" w:hAnsi="Times New Roman" w:cs="Times New Roman"/>
          <w:sz w:val="20"/>
          <w:szCs w:val="20"/>
        </w:rPr>
        <w:t xml:space="preserve"> This would assist parents in retention of what they learned at WIC or Head Start programs. </w:t>
      </w:r>
    </w:p>
    <w:p w14:paraId="548E0F82" w14:textId="4ED32F9F" w:rsidR="001327CD" w:rsidRPr="0086095C" w:rsidRDefault="0086095C" w:rsidP="004D59A5">
      <w:pPr>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3074D" w:rsidRPr="007C5EBB">
        <w:rPr>
          <w:rFonts w:ascii="Times New Roman" w:hAnsi="Times New Roman" w:cs="Times New Roman"/>
          <w:sz w:val="20"/>
          <w:szCs w:val="20"/>
        </w:rPr>
        <w:t xml:space="preserve">All efforts </w:t>
      </w:r>
      <w:r w:rsidR="0025478E" w:rsidRPr="007C5EBB">
        <w:rPr>
          <w:rFonts w:ascii="Times New Roman" w:hAnsi="Times New Roman" w:cs="Times New Roman"/>
          <w:sz w:val="20"/>
          <w:szCs w:val="20"/>
        </w:rPr>
        <w:t>were</w:t>
      </w:r>
      <w:r w:rsidR="00D3074D" w:rsidRPr="007C5EBB">
        <w:rPr>
          <w:rFonts w:ascii="Times New Roman" w:hAnsi="Times New Roman" w:cs="Times New Roman"/>
          <w:sz w:val="20"/>
          <w:szCs w:val="20"/>
        </w:rPr>
        <w:t xml:space="preserve"> made to ensure the highest quality results</w:t>
      </w:r>
      <w:r w:rsidR="0025478E" w:rsidRPr="007C5EBB">
        <w:rPr>
          <w:rFonts w:ascii="Times New Roman" w:hAnsi="Times New Roman" w:cs="Times New Roman"/>
          <w:sz w:val="20"/>
          <w:szCs w:val="20"/>
        </w:rPr>
        <w:t xml:space="preserve"> in this study</w:t>
      </w:r>
      <w:r w:rsidR="00D3074D" w:rsidRPr="007C5EBB">
        <w:rPr>
          <w:rFonts w:ascii="Times New Roman" w:hAnsi="Times New Roman" w:cs="Times New Roman"/>
          <w:sz w:val="20"/>
          <w:szCs w:val="20"/>
        </w:rPr>
        <w:t xml:space="preserve">, but there </w:t>
      </w:r>
      <w:r w:rsidR="0025478E" w:rsidRPr="007C5EBB">
        <w:rPr>
          <w:rFonts w:ascii="Times New Roman" w:hAnsi="Times New Roman" w:cs="Times New Roman"/>
          <w:sz w:val="20"/>
          <w:szCs w:val="20"/>
        </w:rPr>
        <w:t>were</w:t>
      </w:r>
      <w:r w:rsidR="00D3074D" w:rsidRPr="007C5EBB">
        <w:rPr>
          <w:rFonts w:ascii="Times New Roman" w:hAnsi="Times New Roman" w:cs="Times New Roman"/>
          <w:sz w:val="20"/>
          <w:szCs w:val="20"/>
        </w:rPr>
        <w:t xml:space="preserve"> limitations. First, </w:t>
      </w:r>
      <w:r w:rsidR="001E71DE" w:rsidRPr="007C5EBB">
        <w:rPr>
          <w:rFonts w:ascii="Times New Roman" w:hAnsi="Times New Roman" w:cs="Times New Roman"/>
          <w:sz w:val="20"/>
          <w:szCs w:val="20"/>
        </w:rPr>
        <w:t>we ha</w:t>
      </w:r>
      <w:r w:rsidR="0025478E" w:rsidRPr="007C5EBB">
        <w:rPr>
          <w:rFonts w:ascii="Times New Roman" w:hAnsi="Times New Roman" w:cs="Times New Roman"/>
          <w:sz w:val="20"/>
          <w:szCs w:val="20"/>
        </w:rPr>
        <w:t>d</w:t>
      </w:r>
      <w:r w:rsidR="00E95575" w:rsidRPr="007C5EBB">
        <w:rPr>
          <w:rFonts w:ascii="Times New Roman" w:hAnsi="Times New Roman" w:cs="Times New Roman"/>
          <w:sz w:val="20"/>
          <w:szCs w:val="20"/>
        </w:rPr>
        <w:t xml:space="preserve"> a</w:t>
      </w:r>
      <w:r w:rsidR="0025478E" w:rsidRPr="007C5EBB">
        <w:rPr>
          <w:rFonts w:ascii="Times New Roman" w:hAnsi="Times New Roman" w:cs="Times New Roman"/>
          <w:sz w:val="20"/>
          <w:szCs w:val="20"/>
        </w:rPr>
        <w:t xml:space="preserve"> </w:t>
      </w:r>
      <w:r w:rsidR="00712749" w:rsidRPr="007C5EBB">
        <w:rPr>
          <w:rFonts w:ascii="Times New Roman" w:hAnsi="Times New Roman" w:cs="Times New Roman"/>
          <w:sz w:val="20"/>
          <w:szCs w:val="20"/>
        </w:rPr>
        <w:t>short</w:t>
      </w:r>
      <w:r w:rsidR="001E71DE" w:rsidRPr="007C5EBB">
        <w:rPr>
          <w:rFonts w:ascii="Times New Roman" w:hAnsi="Times New Roman" w:cs="Times New Roman"/>
          <w:sz w:val="20"/>
          <w:szCs w:val="20"/>
        </w:rPr>
        <w:t xml:space="preserve"> duration of 3 years (ages 6 to 9)</w:t>
      </w:r>
      <w:r w:rsidR="00E95575" w:rsidRPr="007C5EBB">
        <w:rPr>
          <w:rFonts w:ascii="Times New Roman" w:hAnsi="Times New Roman" w:cs="Times New Roman"/>
          <w:sz w:val="20"/>
          <w:szCs w:val="20"/>
        </w:rPr>
        <w:t xml:space="preserve"> to assess caries experience</w:t>
      </w:r>
      <w:r w:rsidR="001E71DE" w:rsidRPr="007C5EBB">
        <w:rPr>
          <w:rFonts w:ascii="Times New Roman" w:hAnsi="Times New Roman" w:cs="Times New Roman"/>
          <w:sz w:val="20"/>
          <w:szCs w:val="20"/>
        </w:rPr>
        <w:t>. Although there were methodical improvements in the evaluation, future studies are needed for long-term oral health effects.  In addition, this study only examined children from the greater Las Vegas area. Expanding the study with</w:t>
      </w:r>
      <w:r w:rsidR="0025478E" w:rsidRPr="007C5EBB">
        <w:rPr>
          <w:rFonts w:ascii="Times New Roman" w:hAnsi="Times New Roman" w:cs="Times New Roman"/>
          <w:sz w:val="20"/>
          <w:szCs w:val="20"/>
        </w:rPr>
        <w:t>in</w:t>
      </w:r>
      <w:r w:rsidR="001E71DE" w:rsidRPr="007C5EBB">
        <w:rPr>
          <w:rFonts w:ascii="Times New Roman" w:hAnsi="Times New Roman" w:cs="Times New Roman"/>
          <w:sz w:val="20"/>
          <w:szCs w:val="20"/>
        </w:rPr>
        <w:t xml:space="preserve"> several states w</w:t>
      </w:r>
      <w:r w:rsidR="0025478E" w:rsidRPr="007C5EBB">
        <w:rPr>
          <w:rFonts w:ascii="Times New Roman" w:hAnsi="Times New Roman" w:cs="Times New Roman"/>
          <w:sz w:val="20"/>
          <w:szCs w:val="20"/>
        </w:rPr>
        <w:t>ould</w:t>
      </w:r>
      <w:r w:rsidR="001E71DE" w:rsidRPr="007C5EBB">
        <w:rPr>
          <w:rFonts w:ascii="Times New Roman" w:hAnsi="Times New Roman" w:cs="Times New Roman"/>
          <w:sz w:val="20"/>
          <w:szCs w:val="20"/>
        </w:rPr>
        <w:t xml:space="preserve"> give invaluable and precise information</w:t>
      </w:r>
      <w:r w:rsidR="0025478E" w:rsidRPr="007C5EBB">
        <w:rPr>
          <w:rFonts w:ascii="Times New Roman" w:hAnsi="Times New Roman" w:cs="Times New Roman"/>
          <w:sz w:val="20"/>
          <w:szCs w:val="20"/>
        </w:rPr>
        <w:t xml:space="preserve"> for future evaluation</w:t>
      </w:r>
      <w:r w:rsidR="00E95575" w:rsidRPr="007C5EBB">
        <w:rPr>
          <w:rFonts w:ascii="Times New Roman" w:hAnsi="Times New Roman" w:cs="Times New Roman"/>
          <w:sz w:val="20"/>
          <w:szCs w:val="20"/>
        </w:rPr>
        <w:t xml:space="preserve"> and possible implementation of enhanced oral health components in programs</w:t>
      </w:r>
      <w:r w:rsidR="001E71DE" w:rsidRPr="007C5EBB">
        <w:rPr>
          <w:rFonts w:ascii="Times New Roman" w:hAnsi="Times New Roman" w:cs="Times New Roman"/>
          <w:sz w:val="20"/>
          <w:szCs w:val="20"/>
        </w:rPr>
        <w:t xml:space="preserve">. However, due to time and cost, it </w:t>
      </w:r>
      <w:r w:rsidR="0025478E" w:rsidRPr="007C5EBB">
        <w:rPr>
          <w:rFonts w:ascii="Times New Roman" w:hAnsi="Times New Roman" w:cs="Times New Roman"/>
          <w:sz w:val="20"/>
          <w:szCs w:val="20"/>
        </w:rPr>
        <w:t>was</w:t>
      </w:r>
      <w:r w:rsidR="001E71DE" w:rsidRPr="007C5EBB">
        <w:rPr>
          <w:rFonts w:ascii="Times New Roman" w:hAnsi="Times New Roman" w:cs="Times New Roman"/>
          <w:sz w:val="20"/>
          <w:szCs w:val="20"/>
        </w:rPr>
        <w:t xml:space="preserve"> not feasible to </w:t>
      </w:r>
      <w:r w:rsidR="0025478E" w:rsidRPr="007C5EBB">
        <w:rPr>
          <w:rFonts w:ascii="Times New Roman" w:hAnsi="Times New Roman" w:cs="Times New Roman"/>
          <w:sz w:val="20"/>
          <w:szCs w:val="20"/>
        </w:rPr>
        <w:t>do so in this study</w:t>
      </w:r>
      <w:r w:rsidR="001E71DE" w:rsidRPr="007C5EBB">
        <w:rPr>
          <w:rFonts w:ascii="Times New Roman" w:hAnsi="Times New Roman" w:cs="Times New Roman"/>
          <w:sz w:val="20"/>
          <w:szCs w:val="20"/>
        </w:rPr>
        <w:t>. Further,</w:t>
      </w:r>
      <w:r w:rsidR="0025478E" w:rsidRPr="007C5EBB">
        <w:rPr>
          <w:rFonts w:ascii="Times New Roman" w:hAnsi="Times New Roman" w:cs="Times New Roman"/>
          <w:sz w:val="20"/>
          <w:szCs w:val="20"/>
        </w:rPr>
        <w:t xml:space="preserve"> reported</w:t>
      </w:r>
      <w:r w:rsidR="001E71DE" w:rsidRPr="007C5EBB">
        <w:rPr>
          <w:rFonts w:ascii="Times New Roman" w:hAnsi="Times New Roman" w:cs="Times New Roman"/>
          <w:sz w:val="20"/>
          <w:szCs w:val="20"/>
        </w:rPr>
        <w:t xml:space="preserve"> </w:t>
      </w:r>
      <w:r w:rsidR="000208E7" w:rsidRPr="007C5EBB">
        <w:rPr>
          <w:rFonts w:ascii="Times New Roman" w:hAnsi="Times New Roman" w:cs="Times New Roman"/>
          <w:sz w:val="20"/>
          <w:szCs w:val="20"/>
        </w:rPr>
        <w:t xml:space="preserve">participation </w:t>
      </w:r>
      <w:r w:rsidR="0025478E" w:rsidRPr="007C5EBB">
        <w:rPr>
          <w:rFonts w:ascii="Times New Roman" w:hAnsi="Times New Roman" w:cs="Times New Roman"/>
          <w:sz w:val="20"/>
          <w:szCs w:val="20"/>
        </w:rPr>
        <w:t>within</w:t>
      </w:r>
      <w:r w:rsidR="000208E7" w:rsidRPr="007C5EBB">
        <w:rPr>
          <w:rFonts w:ascii="Times New Roman" w:hAnsi="Times New Roman" w:cs="Times New Roman"/>
          <w:sz w:val="20"/>
          <w:szCs w:val="20"/>
        </w:rPr>
        <w:t xml:space="preserve"> any program </w:t>
      </w:r>
      <w:r w:rsidR="001E71DE" w:rsidRPr="007C5EBB">
        <w:rPr>
          <w:rFonts w:ascii="Times New Roman" w:hAnsi="Times New Roman" w:cs="Times New Roman"/>
          <w:sz w:val="20"/>
          <w:szCs w:val="20"/>
        </w:rPr>
        <w:t>may not</w:t>
      </w:r>
      <w:r w:rsidR="0025478E" w:rsidRPr="007C5EBB">
        <w:rPr>
          <w:rFonts w:ascii="Times New Roman" w:hAnsi="Times New Roman" w:cs="Times New Roman"/>
          <w:sz w:val="20"/>
          <w:szCs w:val="20"/>
        </w:rPr>
        <w:t xml:space="preserve"> </w:t>
      </w:r>
      <w:r w:rsidR="00712749" w:rsidRPr="007C5EBB">
        <w:rPr>
          <w:rFonts w:ascii="Times New Roman" w:hAnsi="Times New Roman" w:cs="Times New Roman"/>
          <w:sz w:val="20"/>
          <w:szCs w:val="20"/>
        </w:rPr>
        <w:t>have been</w:t>
      </w:r>
      <w:r w:rsidR="001E71DE" w:rsidRPr="007C5EBB">
        <w:rPr>
          <w:rFonts w:ascii="Times New Roman" w:hAnsi="Times New Roman" w:cs="Times New Roman"/>
          <w:sz w:val="20"/>
          <w:szCs w:val="20"/>
        </w:rPr>
        <w:t xml:space="preserve"> accurate due to </w:t>
      </w:r>
      <w:r w:rsidR="000208E7" w:rsidRPr="007C5EBB">
        <w:rPr>
          <w:rFonts w:ascii="Times New Roman" w:hAnsi="Times New Roman" w:cs="Times New Roman"/>
          <w:sz w:val="20"/>
          <w:szCs w:val="20"/>
        </w:rPr>
        <w:t xml:space="preserve">self-reported </w:t>
      </w:r>
      <w:r w:rsidR="004E0998" w:rsidRPr="007C5EBB">
        <w:rPr>
          <w:rFonts w:ascii="Times New Roman" w:hAnsi="Times New Roman" w:cs="Times New Roman"/>
          <w:sz w:val="20"/>
          <w:szCs w:val="20"/>
        </w:rPr>
        <w:t xml:space="preserve">information provided </w:t>
      </w:r>
      <w:r w:rsidR="000208E7" w:rsidRPr="007C5EBB">
        <w:rPr>
          <w:rFonts w:ascii="Times New Roman" w:hAnsi="Times New Roman" w:cs="Times New Roman"/>
          <w:sz w:val="20"/>
          <w:szCs w:val="20"/>
        </w:rPr>
        <w:t>by the parent / caregiver.</w:t>
      </w:r>
      <w:r w:rsidR="001E71DE" w:rsidRPr="007C5EBB">
        <w:rPr>
          <w:rFonts w:ascii="Times New Roman" w:hAnsi="Times New Roman" w:cs="Times New Roman"/>
          <w:sz w:val="20"/>
          <w:szCs w:val="20"/>
        </w:rPr>
        <w:t xml:space="preserve"> They may not</w:t>
      </w:r>
      <w:r w:rsidR="0025478E" w:rsidRPr="007C5EBB">
        <w:rPr>
          <w:rFonts w:ascii="Times New Roman" w:hAnsi="Times New Roman" w:cs="Times New Roman"/>
          <w:sz w:val="20"/>
          <w:szCs w:val="20"/>
        </w:rPr>
        <w:t xml:space="preserve"> have accurately</w:t>
      </w:r>
      <w:r w:rsidR="001E71DE" w:rsidRPr="007C5EBB">
        <w:rPr>
          <w:rFonts w:ascii="Times New Roman" w:hAnsi="Times New Roman" w:cs="Times New Roman"/>
          <w:sz w:val="20"/>
          <w:szCs w:val="20"/>
        </w:rPr>
        <w:t xml:space="preserve"> recall</w:t>
      </w:r>
      <w:r w:rsidR="0025478E" w:rsidRPr="007C5EBB">
        <w:rPr>
          <w:rFonts w:ascii="Times New Roman" w:hAnsi="Times New Roman" w:cs="Times New Roman"/>
          <w:sz w:val="20"/>
          <w:szCs w:val="20"/>
        </w:rPr>
        <w:t>ed</w:t>
      </w:r>
      <w:r w:rsidR="001E71DE" w:rsidRPr="007C5EBB">
        <w:rPr>
          <w:rFonts w:ascii="Times New Roman" w:hAnsi="Times New Roman" w:cs="Times New Roman"/>
          <w:sz w:val="20"/>
          <w:szCs w:val="20"/>
        </w:rPr>
        <w:t xml:space="preserve"> enrollment </w:t>
      </w:r>
      <w:r w:rsidR="0025478E" w:rsidRPr="007C5EBB">
        <w:rPr>
          <w:rFonts w:ascii="Times New Roman" w:hAnsi="Times New Roman" w:cs="Times New Roman"/>
          <w:sz w:val="20"/>
          <w:szCs w:val="20"/>
        </w:rPr>
        <w:t>in</w:t>
      </w:r>
      <w:r w:rsidR="001E71DE" w:rsidRPr="007C5EBB">
        <w:rPr>
          <w:rFonts w:ascii="Times New Roman" w:hAnsi="Times New Roman" w:cs="Times New Roman"/>
          <w:sz w:val="20"/>
          <w:szCs w:val="20"/>
        </w:rPr>
        <w:t xml:space="preserve"> any program.</w:t>
      </w:r>
      <w:r w:rsidR="002C6EDE" w:rsidRPr="007C5EBB">
        <w:rPr>
          <w:rFonts w:ascii="Times New Roman" w:hAnsi="Times New Roman" w:cs="Times New Roman"/>
          <w:sz w:val="20"/>
          <w:szCs w:val="20"/>
        </w:rPr>
        <w:t xml:space="preserve"> </w:t>
      </w:r>
      <w:r w:rsidR="003537F2" w:rsidRPr="007C5EBB">
        <w:rPr>
          <w:rFonts w:ascii="Times New Roman" w:hAnsi="Times New Roman" w:cs="Times New Roman"/>
          <w:sz w:val="20"/>
          <w:szCs w:val="20"/>
        </w:rPr>
        <w:t>T</w:t>
      </w:r>
      <w:r w:rsidR="002C6EDE" w:rsidRPr="007C5EBB">
        <w:rPr>
          <w:rFonts w:ascii="Times New Roman" w:hAnsi="Times New Roman" w:cs="Times New Roman"/>
          <w:sz w:val="20"/>
          <w:szCs w:val="20"/>
        </w:rPr>
        <w:t>he providers</w:t>
      </w:r>
      <w:r w:rsidR="0025478E" w:rsidRPr="007C5EBB">
        <w:rPr>
          <w:rFonts w:ascii="Times New Roman" w:hAnsi="Times New Roman" w:cs="Times New Roman"/>
          <w:sz w:val="20"/>
          <w:szCs w:val="20"/>
        </w:rPr>
        <w:t xml:space="preserve"> who participated in this study</w:t>
      </w:r>
      <w:r w:rsidR="002C6EDE" w:rsidRPr="007C5EBB">
        <w:rPr>
          <w:rFonts w:ascii="Times New Roman" w:hAnsi="Times New Roman" w:cs="Times New Roman"/>
          <w:sz w:val="20"/>
          <w:szCs w:val="20"/>
        </w:rPr>
        <w:t xml:space="preserve"> </w:t>
      </w:r>
      <w:r w:rsidR="0025478E" w:rsidRPr="007C5EBB">
        <w:rPr>
          <w:rFonts w:ascii="Times New Roman" w:hAnsi="Times New Roman" w:cs="Times New Roman"/>
          <w:sz w:val="20"/>
          <w:szCs w:val="20"/>
        </w:rPr>
        <w:t>we</w:t>
      </w:r>
      <w:r w:rsidR="002C6EDE" w:rsidRPr="007C5EBB">
        <w:rPr>
          <w:rFonts w:ascii="Times New Roman" w:hAnsi="Times New Roman" w:cs="Times New Roman"/>
          <w:sz w:val="20"/>
          <w:szCs w:val="20"/>
        </w:rPr>
        <w:t xml:space="preserve">re </w:t>
      </w:r>
      <w:r>
        <w:rPr>
          <w:rFonts w:ascii="Times New Roman" w:hAnsi="Times New Roman" w:cs="Times New Roman"/>
          <w:sz w:val="20"/>
          <w:szCs w:val="20"/>
        </w:rPr>
        <w:t>trained to</w:t>
      </w:r>
      <w:r w:rsidR="007F3428" w:rsidRPr="007C5EBB">
        <w:rPr>
          <w:rFonts w:ascii="Times New Roman" w:hAnsi="Times New Roman" w:cs="Times New Roman"/>
          <w:sz w:val="20"/>
          <w:szCs w:val="20"/>
        </w:rPr>
        <w:t xml:space="preserve"> standardize the screening process</w:t>
      </w:r>
      <w:r w:rsidR="003537F2" w:rsidRPr="007C5EBB">
        <w:rPr>
          <w:rFonts w:ascii="Times New Roman" w:hAnsi="Times New Roman" w:cs="Times New Roman"/>
          <w:sz w:val="20"/>
          <w:szCs w:val="20"/>
        </w:rPr>
        <w:t>, and the inter-reliability was reestablish</w:t>
      </w:r>
      <w:r w:rsidR="00985998" w:rsidRPr="007C5EBB">
        <w:rPr>
          <w:rFonts w:ascii="Times New Roman" w:hAnsi="Times New Roman" w:cs="Times New Roman"/>
          <w:sz w:val="20"/>
          <w:szCs w:val="20"/>
        </w:rPr>
        <w:t>ed</w:t>
      </w:r>
      <w:r w:rsidR="003537F2" w:rsidRPr="007C5EBB">
        <w:rPr>
          <w:rFonts w:ascii="Times New Roman" w:hAnsi="Times New Roman" w:cs="Times New Roman"/>
          <w:sz w:val="20"/>
          <w:szCs w:val="20"/>
        </w:rPr>
        <w:t xml:space="preserve"> throughout the study. However, there could </w:t>
      </w:r>
      <w:r w:rsidR="0025478E" w:rsidRPr="007C5EBB">
        <w:rPr>
          <w:rFonts w:ascii="Times New Roman" w:hAnsi="Times New Roman" w:cs="Times New Roman"/>
          <w:sz w:val="20"/>
          <w:szCs w:val="20"/>
        </w:rPr>
        <w:t>have been</w:t>
      </w:r>
      <w:r w:rsidR="003537F2" w:rsidRPr="007C5EBB">
        <w:rPr>
          <w:rFonts w:ascii="Times New Roman" w:hAnsi="Times New Roman" w:cs="Times New Roman"/>
          <w:sz w:val="20"/>
          <w:szCs w:val="20"/>
        </w:rPr>
        <w:t xml:space="preserve"> inconsistency while collecting data. </w:t>
      </w:r>
    </w:p>
    <w:p w14:paraId="39DD90C5" w14:textId="02F1D848" w:rsidR="001327CD" w:rsidRPr="007C5EBB" w:rsidRDefault="0086095C" w:rsidP="001327CD">
      <w:pPr>
        <w:rPr>
          <w:rFonts w:ascii="Times New Roman" w:hAnsi="Times New Roman" w:cs="Times New Roman"/>
          <w:sz w:val="20"/>
          <w:szCs w:val="20"/>
        </w:rPr>
      </w:pPr>
      <w:r>
        <w:rPr>
          <w:rFonts w:ascii="Times New Roman" w:hAnsi="Times New Roman" w:cs="Times New Roman"/>
          <w:sz w:val="20"/>
          <w:szCs w:val="20"/>
        </w:rPr>
        <w:t xml:space="preserve">      </w:t>
      </w:r>
      <w:r w:rsidR="00E95575" w:rsidRPr="007C5EBB">
        <w:rPr>
          <w:rFonts w:ascii="Times New Roman" w:hAnsi="Times New Roman" w:cs="Times New Roman"/>
          <w:sz w:val="20"/>
          <w:szCs w:val="20"/>
        </w:rPr>
        <w:t>The results of this study could</w:t>
      </w:r>
      <w:r w:rsidR="001327CD" w:rsidRPr="007C5EBB">
        <w:rPr>
          <w:rFonts w:ascii="Times New Roman" w:hAnsi="Times New Roman" w:cs="Times New Roman"/>
          <w:sz w:val="20"/>
          <w:szCs w:val="20"/>
        </w:rPr>
        <w:t xml:space="preserve"> be used to develop strategies, policies, and materials for more effective education of </w:t>
      </w:r>
      <w:r w:rsidR="0025478E" w:rsidRPr="007C5EBB">
        <w:rPr>
          <w:rFonts w:ascii="Times New Roman" w:hAnsi="Times New Roman" w:cs="Times New Roman"/>
          <w:sz w:val="20"/>
          <w:szCs w:val="20"/>
        </w:rPr>
        <w:t>WIC and Head Start</w:t>
      </w:r>
      <w:r w:rsidR="001327CD" w:rsidRPr="007C5EBB">
        <w:rPr>
          <w:rFonts w:ascii="Times New Roman" w:hAnsi="Times New Roman" w:cs="Times New Roman"/>
          <w:sz w:val="20"/>
          <w:szCs w:val="20"/>
        </w:rPr>
        <w:t xml:space="preserve"> parent</w:t>
      </w:r>
      <w:r w:rsidR="0025478E" w:rsidRPr="007C5EBB">
        <w:rPr>
          <w:rFonts w:ascii="Times New Roman" w:hAnsi="Times New Roman" w:cs="Times New Roman"/>
          <w:sz w:val="20"/>
          <w:szCs w:val="20"/>
        </w:rPr>
        <w:t>s</w:t>
      </w:r>
      <w:r w:rsidR="001327CD" w:rsidRPr="007C5EBB">
        <w:rPr>
          <w:rFonts w:ascii="Times New Roman" w:hAnsi="Times New Roman" w:cs="Times New Roman"/>
          <w:sz w:val="20"/>
          <w:szCs w:val="20"/>
        </w:rPr>
        <w:t xml:space="preserve">, thus, preventing oral diseases. The results </w:t>
      </w:r>
      <w:r w:rsidR="0025478E" w:rsidRPr="007C5EBB">
        <w:rPr>
          <w:rFonts w:ascii="Times New Roman" w:hAnsi="Times New Roman" w:cs="Times New Roman"/>
          <w:sz w:val="20"/>
          <w:szCs w:val="20"/>
        </w:rPr>
        <w:t>could</w:t>
      </w:r>
      <w:r w:rsidR="001327CD" w:rsidRPr="007C5EBB">
        <w:rPr>
          <w:rFonts w:ascii="Times New Roman" w:hAnsi="Times New Roman" w:cs="Times New Roman"/>
          <w:sz w:val="20"/>
          <w:szCs w:val="20"/>
        </w:rPr>
        <w:t xml:space="preserve"> also help indicate which programs need </w:t>
      </w:r>
      <w:r w:rsidR="00712749" w:rsidRPr="007C5EBB">
        <w:rPr>
          <w:rFonts w:ascii="Times New Roman" w:hAnsi="Times New Roman" w:cs="Times New Roman"/>
          <w:sz w:val="20"/>
          <w:szCs w:val="20"/>
        </w:rPr>
        <w:t>improved</w:t>
      </w:r>
      <w:r w:rsidR="001327CD" w:rsidRPr="007C5EBB">
        <w:rPr>
          <w:rFonts w:ascii="Times New Roman" w:hAnsi="Times New Roman" w:cs="Times New Roman"/>
          <w:sz w:val="20"/>
          <w:szCs w:val="20"/>
        </w:rPr>
        <w:t xml:space="preserve"> collaboration with healthcare providers to deliver more effective preventive education. </w:t>
      </w:r>
    </w:p>
    <w:p w14:paraId="24EDB881" w14:textId="6F0EF6F7" w:rsidR="00EE025F" w:rsidRPr="007C5EBB" w:rsidRDefault="00EE025F" w:rsidP="004D59A5">
      <w:pPr>
        <w:rPr>
          <w:rFonts w:ascii="Times New Roman" w:hAnsi="Times New Roman" w:cs="Times New Roman"/>
          <w:sz w:val="20"/>
          <w:szCs w:val="20"/>
          <w:highlight w:val="yellow"/>
        </w:rPr>
      </w:pPr>
    </w:p>
    <w:p w14:paraId="3A485460" w14:textId="7310A48B" w:rsidR="00EE025F" w:rsidRDefault="0086095C" w:rsidP="00EE025F">
      <w:pPr>
        <w:rPr>
          <w:rFonts w:ascii="Times New Roman" w:hAnsi="Times New Roman" w:cs="Times New Roman"/>
          <w:b/>
          <w:bCs/>
          <w:sz w:val="20"/>
          <w:szCs w:val="20"/>
          <w:lang w:val="en-GB"/>
        </w:rPr>
      </w:pPr>
      <w:r>
        <w:rPr>
          <w:rFonts w:ascii="Times New Roman" w:hAnsi="Times New Roman" w:cs="Times New Roman"/>
          <w:b/>
          <w:bCs/>
          <w:sz w:val="20"/>
          <w:szCs w:val="20"/>
          <w:lang w:val="en-GB"/>
        </w:rPr>
        <w:t>CONCLUSION</w:t>
      </w:r>
    </w:p>
    <w:p w14:paraId="60854A93" w14:textId="77777777" w:rsidR="0086095C" w:rsidRPr="007C5EBB" w:rsidRDefault="0086095C" w:rsidP="00EE025F">
      <w:pPr>
        <w:rPr>
          <w:rFonts w:ascii="Times New Roman" w:hAnsi="Times New Roman" w:cs="Times New Roman"/>
          <w:sz w:val="20"/>
          <w:szCs w:val="20"/>
        </w:rPr>
      </w:pPr>
    </w:p>
    <w:p w14:paraId="1DCA99A9" w14:textId="02A0A48F" w:rsidR="00445D93" w:rsidRPr="007C5EBB" w:rsidRDefault="00445D93" w:rsidP="00445D93">
      <w:pPr>
        <w:numPr>
          <w:ilvl w:val="0"/>
          <w:numId w:val="5"/>
        </w:numPr>
        <w:rPr>
          <w:rFonts w:ascii="Times New Roman" w:hAnsi="Times New Roman" w:cs="Times New Roman"/>
          <w:sz w:val="20"/>
          <w:szCs w:val="20"/>
        </w:rPr>
      </w:pPr>
      <w:r w:rsidRPr="007C5EBB">
        <w:rPr>
          <w:rFonts w:ascii="Times New Roman" w:hAnsi="Times New Roman" w:cs="Times New Roman"/>
          <w:sz w:val="20"/>
          <w:szCs w:val="20"/>
        </w:rPr>
        <w:t xml:space="preserve">Dental caries is highly prevalent in children aged six to nine irrespective of </w:t>
      </w:r>
      <w:r w:rsidR="002D647E" w:rsidRPr="007C5EBB">
        <w:rPr>
          <w:rFonts w:ascii="Times New Roman" w:hAnsi="Times New Roman" w:cs="Times New Roman"/>
          <w:sz w:val="20"/>
          <w:szCs w:val="20"/>
        </w:rPr>
        <w:t xml:space="preserve">participation in an oral health program. </w:t>
      </w:r>
    </w:p>
    <w:p w14:paraId="0075BC52" w14:textId="67D5BEB7" w:rsidR="00445D93" w:rsidRPr="007C5EBB" w:rsidRDefault="00445D93" w:rsidP="00445D93">
      <w:pPr>
        <w:numPr>
          <w:ilvl w:val="0"/>
          <w:numId w:val="5"/>
        </w:numPr>
        <w:rPr>
          <w:rFonts w:ascii="Times New Roman" w:hAnsi="Times New Roman" w:cs="Times New Roman"/>
          <w:sz w:val="20"/>
          <w:szCs w:val="20"/>
        </w:rPr>
      </w:pPr>
      <w:r w:rsidRPr="007C5EBB">
        <w:rPr>
          <w:rFonts w:ascii="Times New Roman" w:hAnsi="Times New Roman" w:cs="Times New Roman"/>
          <w:sz w:val="20"/>
          <w:szCs w:val="20"/>
        </w:rPr>
        <w:t>There are no significant differences</w:t>
      </w:r>
      <w:r w:rsidR="008A6611" w:rsidRPr="007C5EBB">
        <w:rPr>
          <w:rFonts w:ascii="Times New Roman" w:hAnsi="Times New Roman" w:cs="Times New Roman"/>
          <w:sz w:val="20"/>
          <w:szCs w:val="20"/>
        </w:rPr>
        <w:t xml:space="preserve"> </w:t>
      </w:r>
      <w:r w:rsidR="002D647E" w:rsidRPr="007C5EBB">
        <w:rPr>
          <w:rFonts w:ascii="Times New Roman" w:hAnsi="Times New Roman" w:cs="Times New Roman"/>
          <w:sz w:val="20"/>
          <w:szCs w:val="20"/>
        </w:rPr>
        <w:t>or improvements in oral</w:t>
      </w:r>
      <w:r w:rsidR="008A6611" w:rsidRPr="007C5EBB">
        <w:rPr>
          <w:rFonts w:ascii="Times New Roman" w:hAnsi="Times New Roman" w:cs="Times New Roman"/>
          <w:sz w:val="20"/>
          <w:szCs w:val="20"/>
        </w:rPr>
        <w:t xml:space="preserve"> health status</w:t>
      </w:r>
      <w:r w:rsidRPr="007C5EBB">
        <w:rPr>
          <w:rFonts w:ascii="Times New Roman" w:hAnsi="Times New Roman" w:cs="Times New Roman"/>
          <w:sz w:val="20"/>
          <w:szCs w:val="20"/>
        </w:rPr>
        <w:t xml:space="preserve"> between children of parents who attended WIC</w:t>
      </w:r>
      <w:r w:rsidR="008A6611" w:rsidRPr="007C5EBB">
        <w:rPr>
          <w:rFonts w:ascii="Times New Roman" w:hAnsi="Times New Roman" w:cs="Times New Roman"/>
          <w:sz w:val="20"/>
          <w:szCs w:val="20"/>
        </w:rPr>
        <w:t xml:space="preserve"> or Head Start programs</w:t>
      </w:r>
      <w:r w:rsidRPr="007C5EBB">
        <w:rPr>
          <w:rFonts w:ascii="Times New Roman" w:hAnsi="Times New Roman" w:cs="Times New Roman"/>
          <w:sz w:val="20"/>
          <w:szCs w:val="20"/>
        </w:rPr>
        <w:t xml:space="preserve"> and those who did not attend either program.</w:t>
      </w:r>
    </w:p>
    <w:p w14:paraId="416AB70C" w14:textId="77777777" w:rsidR="00C96533" w:rsidRPr="007C5EBB" w:rsidRDefault="00421C2A" w:rsidP="002D647E">
      <w:pPr>
        <w:numPr>
          <w:ilvl w:val="0"/>
          <w:numId w:val="5"/>
        </w:numPr>
        <w:rPr>
          <w:rFonts w:ascii="Times New Roman" w:hAnsi="Times New Roman" w:cs="Times New Roman"/>
          <w:sz w:val="20"/>
          <w:szCs w:val="20"/>
        </w:rPr>
      </w:pPr>
      <w:r w:rsidRPr="007C5EBB">
        <w:rPr>
          <w:rFonts w:ascii="Times New Roman" w:hAnsi="Times New Roman" w:cs="Times New Roman"/>
          <w:sz w:val="20"/>
          <w:szCs w:val="20"/>
        </w:rPr>
        <w:t>Evidence-based prevention strategy protocols including oral health literacy education need to be evaluated using a risk-based assessment to ensure compliance with home care and establishment of a dental home.</w:t>
      </w:r>
    </w:p>
    <w:p w14:paraId="2A874B54" w14:textId="77777777" w:rsidR="002D647E" w:rsidRPr="007C5EBB" w:rsidRDefault="002D647E" w:rsidP="00C30F6F">
      <w:pPr>
        <w:ind w:left="720"/>
        <w:rPr>
          <w:rFonts w:ascii="Times New Roman" w:hAnsi="Times New Roman" w:cs="Times New Roman"/>
          <w:sz w:val="20"/>
          <w:szCs w:val="20"/>
        </w:rPr>
      </w:pPr>
    </w:p>
    <w:p w14:paraId="4696CDD2" w14:textId="77777777" w:rsidR="00606F34" w:rsidRDefault="00606F34" w:rsidP="004D59A5">
      <w:pPr>
        <w:rPr>
          <w:rFonts w:ascii="Times New Roman" w:hAnsi="Times New Roman" w:cs="Times New Roman"/>
          <w:b/>
          <w:sz w:val="20"/>
          <w:szCs w:val="20"/>
        </w:rPr>
      </w:pPr>
    </w:p>
    <w:p w14:paraId="6269B2B7" w14:textId="77777777" w:rsidR="006466AD" w:rsidRDefault="006466AD" w:rsidP="004D59A5">
      <w:pPr>
        <w:rPr>
          <w:rFonts w:ascii="Times New Roman" w:hAnsi="Times New Roman" w:cs="Times New Roman"/>
          <w:b/>
          <w:sz w:val="20"/>
          <w:szCs w:val="20"/>
        </w:rPr>
      </w:pPr>
    </w:p>
    <w:p w14:paraId="314D5E70" w14:textId="77777777" w:rsidR="006466AD" w:rsidRDefault="006466AD" w:rsidP="004D59A5">
      <w:pPr>
        <w:rPr>
          <w:rFonts w:ascii="Times New Roman" w:hAnsi="Times New Roman" w:cs="Times New Roman"/>
          <w:b/>
          <w:sz w:val="20"/>
          <w:szCs w:val="20"/>
        </w:rPr>
      </w:pPr>
    </w:p>
    <w:p w14:paraId="002CCCE0" w14:textId="77777777" w:rsidR="006466AD" w:rsidRDefault="006466AD" w:rsidP="004D59A5">
      <w:pPr>
        <w:rPr>
          <w:rFonts w:ascii="Times New Roman" w:hAnsi="Times New Roman" w:cs="Times New Roman"/>
          <w:b/>
          <w:sz w:val="20"/>
          <w:szCs w:val="20"/>
        </w:rPr>
      </w:pPr>
    </w:p>
    <w:p w14:paraId="18D15192" w14:textId="77777777" w:rsidR="006466AD" w:rsidRDefault="006466AD" w:rsidP="004D59A5">
      <w:pPr>
        <w:rPr>
          <w:rFonts w:ascii="Times New Roman" w:hAnsi="Times New Roman" w:cs="Times New Roman"/>
          <w:b/>
          <w:sz w:val="20"/>
          <w:szCs w:val="20"/>
        </w:rPr>
      </w:pPr>
    </w:p>
    <w:p w14:paraId="748AE0C3" w14:textId="77777777" w:rsidR="0086095C" w:rsidRDefault="0086095C" w:rsidP="004D59A5">
      <w:pPr>
        <w:rPr>
          <w:rFonts w:ascii="Times New Roman" w:hAnsi="Times New Roman" w:cs="Times New Roman"/>
          <w:b/>
          <w:sz w:val="20"/>
          <w:szCs w:val="20"/>
        </w:rPr>
      </w:pPr>
    </w:p>
    <w:p w14:paraId="0EDD803F" w14:textId="77777777" w:rsidR="0086095C" w:rsidRDefault="0086095C" w:rsidP="004D59A5">
      <w:pPr>
        <w:rPr>
          <w:rFonts w:ascii="Times New Roman" w:hAnsi="Times New Roman" w:cs="Times New Roman"/>
          <w:b/>
          <w:sz w:val="20"/>
          <w:szCs w:val="20"/>
        </w:rPr>
      </w:pPr>
    </w:p>
    <w:p w14:paraId="628D9779" w14:textId="77777777" w:rsidR="0086095C" w:rsidRDefault="0086095C" w:rsidP="004D59A5">
      <w:pPr>
        <w:rPr>
          <w:rFonts w:ascii="Times New Roman" w:hAnsi="Times New Roman" w:cs="Times New Roman"/>
          <w:b/>
          <w:sz w:val="20"/>
          <w:szCs w:val="20"/>
        </w:rPr>
      </w:pPr>
    </w:p>
    <w:p w14:paraId="3132FD52" w14:textId="77777777" w:rsidR="006466AD" w:rsidRPr="007C5EBB" w:rsidRDefault="006466AD" w:rsidP="004D59A5">
      <w:pPr>
        <w:rPr>
          <w:rFonts w:ascii="Times New Roman" w:hAnsi="Times New Roman" w:cs="Times New Roman"/>
          <w:b/>
          <w:sz w:val="20"/>
          <w:szCs w:val="20"/>
        </w:rPr>
      </w:pPr>
    </w:p>
    <w:p w14:paraId="5F5F222D" w14:textId="219D97CE" w:rsidR="005C6F22" w:rsidRDefault="006466AD" w:rsidP="00B54518">
      <w:pPr>
        <w:rPr>
          <w:rFonts w:ascii="Times New Roman" w:hAnsi="Times New Roman" w:cs="Times New Roman"/>
          <w:b/>
          <w:sz w:val="20"/>
          <w:szCs w:val="20"/>
        </w:rPr>
      </w:pPr>
      <w:r>
        <w:rPr>
          <w:rFonts w:ascii="Times New Roman" w:hAnsi="Times New Roman" w:cs="Times New Roman"/>
          <w:b/>
          <w:sz w:val="20"/>
          <w:szCs w:val="20"/>
        </w:rPr>
        <w:lastRenderedPageBreak/>
        <w:t>REFERENCES</w:t>
      </w:r>
    </w:p>
    <w:p w14:paraId="35D576D4" w14:textId="77777777" w:rsidR="006466AD" w:rsidRPr="007C5EBB" w:rsidRDefault="006466AD" w:rsidP="00B54518">
      <w:pPr>
        <w:rPr>
          <w:rFonts w:ascii="Times New Roman" w:hAnsi="Times New Roman" w:cs="Times New Roman"/>
          <w:b/>
          <w:sz w:val="20"/>
          <w:szCs w:val="20"/>
        </w:rPr>
      </w:pPr>
    </w:p>
    <w:p w14:paraId="2A71998F" w14:textId="35AFF424" w:rsidR="005C6F22" w:rsidRPr="007C5EBB" w:rsidRDefault="005C6F22" w:rsidP="005C6F22">
      <w:pPr>
        <w:rPr>
          <w:rFonts w:ascii="Times New Roman" w:hAnsi="Times New Roman" w:cs="Times New Roman"/>
          <w:sz w:val="20"/>
          <w:szCs w:val="20"/>
        </w:rPr>
      </w:pPr>
      <w:proofErr w:type="spellStart"/>
      <w:r w:rsidRPr="007C5EBB">
        <w:rPr>
          <w:rFonts w:ascii="Times New Roman" w:eastAsia="MS Mincho" w:hAnsi="Times New Roman" w:cs="Times New Roman"/>
          <w:sz w:val="20"/>
          <w:szCs w:val="20"/>
          <w:lang w:eastAsia="ja-JP"/>
        </w:rPr>
        <w:t>Anselmo</w:t>
      </w:r>
      <w:proofErr w:type="spellEnd"/>
      <w:r w:rsidRPr="007C5EBB">
        <w:rPr>
          <w:rFonts w:ascii="Times New Roman" w:eastAsia="MS Mincho" w:hAnsi="Times New Roman" w:cs="Times New Roman"/>
          <w:sz w:val="20"/>
          <w:szCs w:val="20"/>
          <w:lang w:eastAsia="ja-JP"/>
        </w:rPr>
        <w:t>, T</w:t>
      </w:r>
      <w:r w:rsidR="00940A7D" w:rsidRPr="007C5EBB">
        <w:rPr>
          <w:rFonts w:ascii="Times New Roman" w:eastAsia="MS Mincho" w:hAnsi="Times New Roman" w:cs="Times New Roman"/>
          <w:sz w:val="20"/>
          <w:szCs w:val="20"/>
          <w:lang w:eastAsia="ja-JP"/>
        </w:rPr>
        <w:t>.</w:t>
      </w:r>
      <w:r w:rsidRPr="007C5EBB">
        <w:rPr>
          <w:rFonts w:ascii="Times New Roman" w:eastAsia="MS Mincho" w:hAnsi="Times New Roman" w:cs="Times New Roman"/>
          <w:sz w:val="20"/>
          <w:szCs w:val="20"/>
          <w:lang w:eastAsia="ja-JP"/>
        </w:rPr>
        <w:t>, McClure, L., Russell, S. (2012)</w:t>
      </w:r>
      <w:r w:rsidR="00940A7D" w:rsidRPr="007C5EBB">
        <w:rPr>
          <w:rFonts w:ascii="Times New Roman" w:eastAsia="MS Mincho" w:hAnsi="Times New Roman" w:cs="Times New Roman"/>
          <w:sz w:val="20"/>
          <w:szCs w:val="20"/>
          <w:lang w:eastAsia="ja-JP"/>
        </w:rPr>
        <w:t xml:space="preserve">. </w:t>
      </w:r>
      <w:r w:rsidRPr="007C5EBB">
        <w:rPr>
          <w:rFonts w:ascii="Times New Roman" w:eastAsia="MS Mincho" w:hAnsi="Times New Roman" w:cs="Times New Roman"/>
          <w:sz w:val="20"/>
          <w:szCs w:val="20"/>
          <w:lang w:eastAsia="ja-JP"/>
        </w:rPr>
        <w:t xml:space="preserve">WIC Dental Days: A Collaborative Early Childhood Caries Prevention Program. </w:t>
      </w:r>
      <w:proofErr w:type="gramStart"/>
      <w:r w:rsidRPr="007C5EBB">
        <w:rPr>
          <w:rFonts w:ascii="Times New Roman" w:eastAsia="MS Mincho" w:hAnsi="Times New Roman" w:cs="Times New Roman"/>
          <w:sz w:val="20"/>
          <w:szCs w:val="20"/>
          <w:lang w:eastAsia="ja-JP"/>
        </w:rPr>
        <w:t>National Primary Oral Health Conferences.</w:t>
      </w:r>
      <w:proofErr w:type="gramEnd"/>
    </w:p>
    <w:p w14:paraId="3C1C72EC" w14:textId="77777777" w:rsidR="005C6F22" w:rsidRPr="007C5EBB" w:rsidRDefault="005C6F22" w:rsidP="005C6F22">
      <w:pPr>
        <w:rPr>
          <w:rFonts w:ascii="Times New Roman" w:eastAsia="MS Mincho" w:hAnsi="Times New Roman" w:cs="Times New Roman"/>
          <w:sz w:val="20"/>
          <w:szCs w:val="20"/>
          <w:lang w:eastAsia="ja-JP"/>
        </w:rPr>
      </w:pPr>
    </w:p>
    <w:p w14:paraId="151F165E" w14:textId="3A35D4C2" w:rsidR="005C6F22" w:rsidRPr="007C5EBB" w:rsidRDefault="005C6F22" w:rsidP="005C6F22">
      <w:pPr>
        <w:rPr>
          <w:rFonts w:ascii="Times New Roman" w:hAnsi="Times New Roman" w:cs="Times New Roman"/>
          <w:sz w:val="20"/>
          <w:szCs w:val="20"/>
        </w:rPr>
      </w:pPr>
      <w:proofErr w:type="gramStart"/>
      <w:r w:rsidRPr="007C5EBB">
        <w:rPr>
          <w:rFonts w:ascii="Times New Roman" w:eastAsia="MS Mincho" w:hAnsi="Times New Roman" w:cs="Times New Roman"/>
          <w:sz w:val="20"/>
          <w:szCs w:val="20"/>
          <w:lang w:eastAsia="ja-JP"/>
        </w:rPr>
        <w:t>Center for Oral Health.</w:t>
      </w:r>
      <w:proofErr w:type="gramEnd"/>
      <w:r w:rsidRPr="007C5EBB">
        <w:rPr>
          <w:rFonts w:ascii="Times New Roman" w:eastAsia="MS Mincho" w:hAnsi="Times New Roman" w:cs="Times New Roman"/>
          <w:sz w:val="20"/>
          <w:szCs w:val="20"/>
          <w:lang w:eastAsia="ja-JP"/>
        </w:rPr>
        <w:t xml:space="preserve"> (2011)</w:t>
      </w:r>
      <w:proofErr w:type="gramStart"/>
      <w:r w:rsidR="00940A7D" w:rsidRPr="007C5EBB">
        <w:rPr>
          <w:rFonts w:ascii="Times New Roman" w:eastAsia="MS Mincho" w:hAnsi="Times New Roman" w:cs="Times New Roman"/>
          <w:sz w:val="20"/>
          <w:szCs w:val="20"/>
          <w:lang w:eastAsia="ja-JP"/>
        </w:rPr>
        <w:t>.</w:t>
      </w:r>
      <w:r w:rsidRPr="007C5EBB">
        <w:rPr>
          <w:rFonts w:ascii="Times New Roman" w:eastAsia="MS Mincho" w:hAnsi="Times New Roman" w:cs="Times New Roman"/>
          <w:sz w:val="20"/>
          <w:szCs w:val="20"/>
          <w:lang w:eastAsia="ja-JP"/>
        </w:rPr>
        <w:t xml:space="preserve"> WIC Early Entry to Dental Care.</w:t>
      </w:r>
      <w:proofErr w:type="gramEnd"/>
      <w:r w:rsidRPr="007C5EBB">
        <w:rPr>
          <w:rFonts w:ascii="Times New Roman" w:eastAsia="MS Mincho" w:hAnsi="Times New Roman" w:cs="Times New Roman"/>
          <w:sz w:val="20"/>
          <w:szCs w:val="20"/>
          <w:lang w:eastAsia="ja-JP"/>
        </w:rPr>
        <w:t xml:space="preserve"> Oakland, CA: Center for Oral </w:t>
      </w:r>
    </w:p>
    <w:p w14:paraId="64A9C107" w14:textId="77777777" w:rsidR="005C6F22" w:rsidRPr="007C5EBB" w:rsidRDefault="005C6F22" w:rsidP="005C6F22">
      <w:pPr>
        <w:rPr>
          <w:rFonts w:ascii="Times New Roman" w:eastAsia="MS Mincho" w:hAnsi="Times New Roman" w:cs="Times New Roman"/>
          <w:sz w:val="20"/>
          <w:szCs w:val="20"/>
          <w:lang w:eastAsia="ja-JP"/>
        </w:rPr>
      </w:pPr>
      <w:r w:rsidRPr="007C5EBB">
        <w:rPr>
          <w:rFonts w:ascii="Times New Roman" w:eastAsia="MS Mincho" w:hAnsi="Times New Roman" w:cs="Times New Roman"/>
          <w:sz w:val="20"/>
          <w:szCs w:val="20"/>
          <w:lang w:eastAsia="ja-JP"/>
        </w:rPr>
        <w:t xml:space="preserve">Health. </w:t>
      </w:r>
    </w:p>
    <w:p w14:paraId="16B2D31F" w14:textId="77777777" w:rsidR="005C6F22" w:rsidRPr="007C5EBB" w:rsidRDefault="005C6F22" w:rsidP="005C6F22">
      <w:pPr>
        <w:rPr>
          <w:rFonts w:ascii="Times New Roman" w:eastAsia="MS Mincho" w:hAnsi="Times New Roman" w:cs="Times New Roman"/>
          <w:sz w:val="20"/>
          <w:szCs w:val="20"/>
          <w:highlight w:val="yellow"/>
          <w:lang w:eastAsia="ja-JP"/>
        </w:rPr>
      </w:pPr>
    </w:p>
    <w:p w14:paraId="655A176A" w14:textId="1457402C" w:rsidR="005C6F22" w:rsidRPr="007C5EBB" w:rsidRDefault="005C6F22" w:rsidP="005C6F22">
      <w:pPr>
        <w:rPr>
          <w:rFonts w:ascii="Times" w:eastAsia="Times New Roman" w:hAnsi="Times" w:cs="Times New Roman"/>
          <w:sz w:val="20"/>
          <w:szCs w:val="20"/>
        </w:rPr>
      </w:pPr>
      <w:r w:rsidRPr="007C5EBB">
        <w:rPr>
          <w:rFonts w:ascii="Times" w:hAnsi="Times"/>
          <w:sz w:val="20"/>
          <w:szCs w:val="20"/>
        </w:rPr>
        <w:t>Crum, R. (2013)</w:t>
      </w:r>
      <w:r w:rsidR="001F075A" w:rsidRPr="007C5EBB">
        <w:rPr>
          <w:rFonts w:ascii="Times" w:hAnsi="Times"/>
          <w:sz w:val="20"/>
          <w:szCs w:val="20"/>
        </w:rPr>
        <w:t>.</w:t>
      </w:r>
      <w:r w:rsidRPr="007C5EBB">
        <w:rPr>
          <w:rFonts w:ascii="Times" w:hAnsi="Times"/>
          <w:sz w:val="20"/>
          <w:szCs w:val="20"/>
        </w:rPr>
        <w:t xml:space="preserve"> </w:t>
      </w:r>
      <w:r w:rsidRPr="007C5EBB">
        <w:rPr>
          <w:rFonts w:ascii="Times" w:eastAsia="Times New Roman" w:hAnsi="Times" w:cs="Times New Roman"/>
          <w:sz w:val="20"/>
          <w:szCs w:val="20"/>
        </w:rPr>
        <w:t>Building Community and Improving Health in Low-Income Las Vegas Neighborhoods</w:t>
      </w:r>
      <w:r w:rsidR="001F075A" w:rsidRPr="007C5EBB">
        <w:rPr>
          <w:rFonts w:ascii="Times" w:eastAsia="Times New Roman" w:hAnsi="Times" w:cs="Times New Roman"/>
          <w:sz w:val="20"/>
          <w:szCs w:val="20"/>
        </w:rPr>
        <w:t xml:space="preserve">. </w:t>
      </w:r>
      <w:r w:rsidRPr="007C5EBB">
        <w:rPr>
          <w:rFonts w:ascii="Times" w:eastAsia="Times New Roman" w:hAnsi="Times" w:cs="Times New Roman"/>
          <w:sz w:val="20"/>
          <w:szCs w:val="20"/>
        </w:rPr>
        <w:t xml:space="preserve"> </w:t>
      </w:r>
      <w:proofErr w:type="gramStart"/>
      <w:r w:rsidRPr="007C5EBB">
        <w:rPr>
          <w:rFonts w:ascii="Times" w:eastAsia="Times New Roman" w:hAnsi="Times" w:cs="Times New Roman"/>
          <w:sz w:val="20"/>
          <w:szCs w:val="20"/>
        </w:rPr>
        <w:t>The Robert Johnson Wood Foundation.</w:t>
      </w:r>
      <w:proofErr w:type="gramEnd"/>
    </w:p>
    <w:p w14:paraId="04DA8E05" w14:textId="77777777" w:rsidR="00B54518" w:rsidRPr="007C5EBB" w:rsidRDefault="00B54518" w:rsidP="00B54518">
      <w:pPr>
        <w:rPr>
          <w:rFonts w:ascii="Times New Roman" w:eastAsia="MS Mincho" w:hAnsi="Times New Roman" w:cs="Times New Roman"/>
          <w:sz w:val="20"/>
          <w:szCs w:val="20"/>
          <w:highlight w:val="yellow"/>
          <w:lang w:eastAsia="ja-JP"/>
        </w:rPr>
      </w:pPr>
    </w:p>
    <w:p w14:paraId="4F87150E" w14:textId="2EDC0BDE" w:rsidR="00B54518" w:rsidRPr="007C5EBB" w:rsidRDefault="00940A7D" w:rsidP="00B54518">
      <w:pPr>
        <w:rPr>
          <w:rFonts w:ascii="Times New Roman" w:hAnsi="Times New Roman" w:cs="Times New Roman"/>
          <w:sz w:val="20"/>
          <w:szCs w:val="20"/>
        </w:rPr>
      </w:pPr>
      <w:proofErr w:type="gramStart"/>
      <w:r w:rsidRPr="007C5EBB">
        <w:rPr>
          <w:rFonts w:ascii="Times New Roman" w:eastAsia="MS Mincho" w:hAnsi="Times New Roman" w:cs="Times New Roman"/>
          <w:sz w:val="20"/>
          <w:szCs w:val="20"/>
          <w:lang w:eastAsia="ja-JP"/>
        </w:rPr>
        <w:t>Depar</w:t>
      </w:r>
      <w:r w:rsidR="00B54518" w:rsidRPr="007C5EBB">
        <w:rPr>
          <w:rFonts w:ascii="Times New Roman" w:eastAsia="MS Mincho" w:hAnsi="Times New Roman" w:cs="Times New Roman"/>
          <w:sz w:val="20"/>
          <w:szCs w:val="20"/>
          <w:lang w:eastAsia="ja-JP"/>
        </w:rPr>
        <w:t>tment of Health and Human Services, Division of Public and Behavioral Health, Oral Health Program.</w:t>
      </w:r>
      <w:proofErr w:type="gramEnd"/>
      <w:r w:rsidR="00B54518" w:rsidRPr="007C5EBB">
        <w:rPr>
          <w:rFonts w:ascii="Times New Roman" w:eastAsia="MS Mincho" w:hAnsi="Times New Roman" w:cs="Times New Roman"/>
          <w:sz w:val="20"/>
          <w:szCs w:val="20"/>
          <w:lang w:eastAsia="ja-JP"/>
        </w:rPr>
        <w:t xml:space="preserve"> 2008-2009 Third-Grade Oral Health Survey.</w:t>
      </w:r>
    </w:p>
    <w:p w14:paraId="0C3F9F9E" w14:textId="77777777" w:rsidR="00B54518" w:rsidRPr="007C5EBB" w:rsidRDefault="00B54518" w:rsidP="00B54518">
      <w:pPr>
        <w:rPr>
          <w:rFonts w:ascii="Times New Roman" w:eastAsia="MS Mincho" w:hAnsi="Times New Roman" w:cs="Times New Roman"/>
          <w:sz w:val="20"/>
          <w:szCs w:val="20"/>
          <w:highlight w:val="yellow"/>
          <w:lang w:eastAsia="ja-JP"/>
        </w:rPr>
      </w:pPr>
    </w:p>
    <w:p w14:paraId="7FDB2897" w14:textId="4AC01CD0" w:rsidR="00B54518" w:rsidRPr="007C5EBB" w:rsidRDefault="00B54518" w:rsidP="00B54518">
      <w:pPr>
        <w:rPr>
          <w:rFonts w:ascii="Times New Roman" w:eastAsia="MS Mincho" w:hAnsi="Times New Roman" w:cs="Times New Roman"/>
          <w:sz w:val="20"/>
          <w:szCs w:val="20"/>
          <w:lang w:eastAsia="ja-JP"/>
        </w:rPr>
      </w:pPr>
      <w:proofErr w:type="gramStart"/>
      <w:r w:rsidRPr="007C5EBB">
        <w:rPr>
          <w:rFonts w:ascii="Times New Roman" w:eastAsia="MS Mincho" w:hAnsi="Times New Roman" w:cs="Times New Roman"/>
          <w:sz w:val="20"/>
          <w:szCs w:val="20"/>
          <w:lang w:eastAsia="ja-JP"/>
        </w:rPr>
        <w:t>Department of Health and Human Services, Nevada State Health Di</w:t>
      </w:r>
      <w:r w:rsidR="00E516F4" w:rsidRPr="007C5EBB">
        <w:rPr>
          <w:rFonts w:ascii="Times New Roman" w:eastAsia="MS Mincho" w:hAnsi="Times New Roman" w:cs="Times New Roman"/>
          <w:sz w:val="20"/>
          <w:szCs w:val="20"/>
          <w:lang w:eastAsia="ja-JP"/>
        </w:rPr>
        <w:t>vision, Oral Health Program</w:t>
      </w:r>
      <w:r w:rsidRPr="007C5EBB">
        <w:rPr>
          <w:rFonts w:ascii="Times New Roman" w:eastAsia="MS Mincho" w:hAnsi="Times New Roman" w:cs="Times New Roman"/>
          <w:sz w:val="20"/>
          <w:szCs w:val="20"/>
          <w:lang w:eastAsia="ja-JP"/>
        </w:rPr>
        <w:t>.</w:t>
      </w:r>
      <w:proofErr w:type="gramEnd"/>
      <w:r w:rsidRPr="007C5EBB">
        <w:rPr>
          <w:rFonts w:ascii="Times New Roman" w:eastAsia="MS Mincho" w:hAnsi="Times New Roman" w:cs="Times New Roman"/>
          <w:sz w:val="20"/>
          <w:szCs w:val="20"/>
          <w:lang w:eastAsia="ja-JP"/>
        </w:rPr>
        <w:t xml:space="preserve"> 2011 -2012 Head Start Oral Health Survey, Health</w:t>
      </w:r>
      <w:r w:rsidR="00332211" w:rsidRPr="007C5EBB">
        <w:rPr>
          <w:rFonts w:ascii="Times New Roman" w:eastAsia="MS Mincho" w:hAnsi="Times New Roman" w:cs="Times New Roman"/>
          <w:sz w:val="20"/>
          <w:szCs w:val="20"/>
          <w:lang w:eastAsia="ja-JP"/>
        </w:rPr>
        <w:t>y</w:t>
      </w:r>
      <w:r w:rsidRPr="007C5EBB">
        <w:rPr>
          <w:rFonts w:ascii="Times New Roman" w:eastAsia="MS Mincho" w:hAnsi="Times New Roman" w:cs="Times New Roman"/>
          <w:sz w:val="20"/>
          <w:szCs w:val="20"/>
          <w:lang w:eastAsia="ja-JP"/>
        </w:rPr>
        <w:t xml:space="preserve"> Smile, Happy Child. </w:t>
      </w:r>
    </w:p>
    <w:p w14:paraId="5F6D43EC" w14:textId="7DC72E7B" w:rsidR="005C6F22" w:rsidRPr="007C5EBB" w:rsidRDefault="005C6F22" w:rsidP="00B54518">
      <w:pPr>
        <w:rPr>
          <w:rFonts w:ascii="Times New Roman" w:eastAsia="MS Mincho" w:hAnsi="Times New Roman" w:cs="Times New Roman"/>
          <w:sz w:val="20"/>
          <w:szCs w:val="20"/>
          <w:highlight w:val="yellow"/>
          <w:lang w:eastAsia="ja-JP"/>
        </w:rPr>
      </w:pPr>
    </w:p>
    <w:p w14:paraId="7DD3A845" w14:textId="3CC7B000" w:rsidR="005C6F22" w:rsidRPr="007C5EBB" w:rsidRDefault="001B14E4" w:rsidP="00B54518">
      <w:pPr>
        <w:rPr>
          <w:rFonts w:ascii="Times New Roman" w:hAnsi="Times New Roman" w:cs="Times New Roman"/>
          <w:sz w:val="20"/>
          <w:szCs w:val="20"/>
        </w:rPr>
      </w:pPr>
      <w:proofErr w:type="gramStart"/>
      <w:r w:rsidRPr="007C5EBB">
        <w:rPr>
          <w:rFonts w:ascii="Times New Roman" w:hAnsi="Times New Roman" w:cs="Times New Roman"/>
          <w:sz w:val="20"/>
          <w:szCs w:val="20"/>
        </w:rPr>
        <w:t>Department of Health and Human Services, Nevada State Health Division, Bureau of Family Health Services.</w:t>
      </w:r>
      <w:proofErr w:type="gramEnd"/>
      <w:r w:rsidRPr="007C5EBB">
        <w:rPr>
          <w:rFonts w:ascii="Times New Roman" w:hAnsi="Times New Roman" w:cs="Times New Roman"/>
          <w:sz w:val="20"/>
          <w:szCs w:val="20"/>
        </w:rPr>
        <w:t xml:space="preserve"> (2007)</w:t>
      </w:r>
      <w:proofErr w:type="gramStart"/>
      <w:r w:rsidRPr="007C5EBB">
        <w:rPr>
          <w:rFonts w:ascii="Times New Roman" w:hAnsi="Times New Roman" w:cs="Times New Roman"/>
          <w:sz w:val="20"/>
          <w:szCs w:val="20"/>
        </w:rPr>
        <w:t>. Head Start Basic Screening Survey Process Evaluation.</w:t>
      </w:r>
      <w:proofErr w:type="gramEnd"/>
      <w:r w:rsidRPr="007C5EBB">
        <w:rPr>
          <w:rFonts w:ascii="Times New Roman" w:hAnsi="Times New Roman" w:cs="Times New Roman"/>
          <w:sz w:val="20"/>
          <w:szCs w:val="20"/>
        </w:rPr>
        <w:t xml:space="preserve"> </w:t>
      </w:r>
    </w:p>
    <w:p w14:paraId="14C22F21" w14:textId="77777777" w:rsidR="005C6F22" w:rsidRPr="007C5EBB" w:rsidRDefault="005C6F22" w:rsidP="00B54518">
      <w:pPr>
        <w:rPr>
          <w:rFonts w:ascii="Times New Roman" w:hAnsi="Times New Roman" w:cs="Times New Roman"/>
          <w:sz w:val="20"/>
          <w:szCs w:val="20"/>
          <w:highlight w:val="yellow"/>
        </w:rPr>
      </w:pPr>
    </w:p>
    <w:p w14:paraId="0C2CFDDF" w14:textId="77777777" w:rsidR="006466AD" w:rsidRDefault="006466AD" w:rsidP="00B54518">
      <w:pPr>
        <w:rPr>
          <w:rFonts w:ascii="Times New Roman" w:hAnsi="Times New Roman" w:cs="Times New Roman"/>
          <w:sz w:val="20"/>
          <w:szCs w:val="20"/>
        </w:rPr>
      </w:pPr>
    </w:p>
    <w:p w14:paraId="351407A3" w14:textId="77777777" w:rsidR="006466AD" w:rsidRDefault="006466AD" w:rsidP="00B54518">
      <w:pPr>
        <w:rPr>
          <w:rFonts w:ascii="Times New Roman" w:hAnsi="Times New Roman" w:cs="Times New Roman"/>
          <w:sz w:val="20"/>
          <w:szCs w:val="20"/>
        </w:rPr>
      </w:pPr>
    </w:p>
    <w:p w14:paraId="5C75D7D2" w14:textId="77777777" w:rsidR="006466AD" w:rsidRDefault="006466AD" w:rsidP="00B54518">
      <w:pPr>
        <w:rPr>
          <w:rFonts w:ascii="Times New Roman" w:hAnsi="Times New Roman" w:cs="Times New Roman"/>
          <w:sz w:val="20"/>
          <w:szCs w:val="20"/>
        </w:rPr>
      </w:pPr>
    </w:p>
    <w:p w14:paraId="2FE58ACD" w14:textId="77777777" w:rsidR="006466AD" w:rsidRDefault="006466AD" w:rsidP="00B54518">
      <w:pPr>
        <w:rPr>
          <w:rFonts w:ascii="Times New Roman" w:hAnsi="Times New Roman" w:cs="Times New Roman"/>
          <w:sz w:val="20"/>
          <w:szCs w:val="20"/>
        </w:rPr>
      </w:pPr>
    </w:p>
    <w:p w14:paraId="140AA973" w14:textId="77777777" w:rsidR="006466AD" w:rsidRDefault="006466AD" w:rsidP="00B54518">
      <w:pPr>
        <w:rPr>
          <w:rFonts w:ascii="Times New Roman" w:hAnsi="Times New Roman" w:cs="Times New Roman"/>
          <w:sz w:val="20"/>
          <w:szCs w:val="20"/>
        </w:rPr>
      </w:pPr>
    </w:p>
    <w:p w14:paraId="7813657C" w14:textId="77777777" w:rsidR="006466AD" w:rsidRDefault="006466AD" w:rsidP="00B54518">
      <w:pPr>
        <w:rPr>
          <w:rFonts w:ascii="Times New Roman" w:hAnsi="Times New Roman" w:cs="Times New Roman"/>
          <w:sz w:val="20"/>
          <w:szCs w:val="20"/>
        </w:rPr>
      </w:pPr>
    </w:p>
    <w:p w14:paraId="1B29358B" w14:textId="77777777" w:rsidR="006466AD" w:rsidRDefault="006466AD" w:rsidP="00B54518">
      <w:pPr>
        <w:rPr>
          <w:rFonts w:ascii="Times New Roman" w:hAnsi="Times New Roman" w:cs="Times New Roman"/>
          <w:sz w:val="20"/>
          <w:szCs w:val="20"/>
        </w:rPr>
      </w:pPr>
    </w:p>
    <w:p w14:paraId="16F7D3C4" w14:textId="77777777" w:rsidR="006466AD" w:rsidRDefault="006466AD" w:rsidP="00B54518">
      <w:pPr>
        <w:rPr>
          <w:rFonts w:ascii="Times New Roman" w:hAnsi="Times New Roman" w:cs="Times New Roman"/>
          <w:sz w:val="20"/>
          <w:szCs w:val="20"/>
        </w:rPr>
      </w:pPr>
    </w:p>
    <w:p w14:paraId="3C83B782" w14:textId="77777777" w:rsidR="006466AD" w:rsidRDefault="006466AD" w:rsidP="00B54518">
      <w:pPr>
        <w:rPr>
          <w:rFonts w:ascii="Times New Roman" w:hAnsi="Times New Roman" w:cs="Times New Roman"/>
          <w:sz w:val="20"/>
          <w:szCs w:val="20"/>
        </w:rPr>
      </w:pPr>
    </w:p>
    <w:p w14:paraId="2423BDA3" w14:textId="77777777" w:rsidR="006466AD" w:rsidRDefault="006466AD" w:rsidP="00B54518">
      <w:pPr>
        <w:rPr>
          <w:rFonts w:ascii="Times New Roman" w:hAnsi="Times New Roman" w:cs="Times New Roman"/>
          <w:sz w:val="20"/>
          <w:szCs w:val="20"/>
        </w:rPr>
      </w:pPr>
    </w:p>
    <w:p w14:paraId="0A2ECDAA" w14:textId="77777777" w:rsidR="006466AD" w:rsidRDefault="006466AD" w:rsidP="00B54518">
      <w:pPr>
        <w:rPr>
          <w:rFonts w:ascii="Times New Roman" w:hAnsi="Times New Roman" w:cs="Times New Roman"/>
          <w:sz w:val="20"/>
          <w:szCs w:val="20"/>
        </w:rPr>
      </w:pPr>
    </w:p>
    <w:p w14:paraId="4094B61E" w14:textId="77777777" w:rsidR="006466AD" w:rsidRDefault="006466AD" w:rsidP="00B54518">
      <w:pPr>
        <w:rPr>
          <w:rFonts w:ascii="Times New Roman" w:hAnsi="Times New Roman" w:cs="Times New Roman"/>
          <w:sz w:val="20"/>
          <w:szCs w:val="20"/>
        </w:rPr>
      </w:pPr>
    </w:p>
    <w:p w14:paraId="241B820E" w14:textId="77777777" w:rsidR="006466AD" w:rsidRDefault="006466AD" w:rsidP="00B54518">
      <w:pPr>
        <w:rPr>
          <w:rFonts w:ascii="Times New Roman" w:hAnsi="Times New Roman" w:cs="Times New Roman"/>
          <w:sz w:val="20"/>
          <w:szCs w:val="20"/>
        </w:rPr>
      </w:pPr>
    </w:p>
    <w:p w14:paraId="4E590ECE" w14:textId="77777777" w:rsidR="006466AD" w:rsidRDefault="006466AD" w:rsidP="00B54518">
      <w:pPr>
        <w:rPr>
          <w:rFonts w:ascii="Times New Roman" w:hAnsi="Times New Roman" w:cs="Times New Roman"/>
          <w:sz w:val="20"/>
          <w:szCs w:val="20"/>
        </w:rPr>
      </w:pPr>
    </w:p>
    <w:p w14:paraId="4999C5C2" w14:textId="77777777" w:rsidR="006466AD" w:rsidRDefault="006466AD" w:rsidP="00B54518">
      <w:pPr>
        <w:rPr>
          <w:rFonts w:ascii="Times New Roman" w:hAnsi="Times New Roman" w:cs="Times New Roman"/>
          <w:sz w:val="20"/>
          <w:szCs w:val="20"/>
        </w:rPr>
      </w:pPr>
    </w:p>
    <w:p w14:paraId="2B4483E9" w14:textId="77777777" w:rsidR="006466AD" w:rsidRDefault="006466AD" w:rsidP="00B54518">
      <w:pPr>
        <w:rPr>
          <w:rFonts w:ascii="Times New Roman" w:hAnsi="Times New Roman" w:cs="Times New Roman"/>
          <w:sz w:val="20"/>
          <w:szCs w:val="20"/>
        </w:rPr>
      </w:pPr>
    </w:p>
    <w:p w14:paraId="7E8552B7" w14:textId="77777777" w:rsidR="006466AD" w:rsidRDefault="006466AD" w:rsidP="00B54518">
      <w:pPr>
        <w:rPr>
          <w:rFonts w:ascii="Times New Roman" w:hAnsi="Times New Roman" w:cs="Times New Roman"/>
          <w:sz w:val="20"/>
          <w:szCs w:val="20"/>
        </w:rPr>
      </w:pPr>
    </w:p>
    <w:p w14:paraId="5BC324D9" w14:textId="77777777" w:rsidR="006466AD" w:rsidRDefault="006466AD" w:rsidP="00B54518">
      <w:pPr>
        <w:rPr>
          <w:rFonts w:ascii="Times New Roman" w:hAnsi="Times New Roman" w:cs="Times New Roman"/>
          <w:sz w:val="20"/>
          <w:szCs w:val="20"/>
        </w:rPr>
      </w:pPr>
    </w:p>
    <w:p w14:paraId="68698819" w14:textId="77777777" w:rsidR="006466AD" w:rsidRDefault="006466AD" w:rsidP="00B54518">
      <w:pPr>
        <w:rPr>
          <w:rFonts w:ascii="Times New Roman" w:hAnsi="Times New Roman" w:cs="Times New Roman"/>
          <w:sz w:val="20"/>
          <w:szCs w:val="20"/>
        </w:rPr>
      </w:pPr>
    </w:p>
    <w:p w14:paraId="33971D2C" w14:textId="77777777" w:rsidR="006466AD" w:rsidRDefault="006466AD" w:rsidP="00B54518">
      <w:pPr>
        <w:rPr>
          <w:rFonts w:ascii="Times New Roman" w:hAnsi="Times New Roman" w:cs="Times New Roman"/>
          <w:sz w:val="20"/>
          <w:szCs w:val="20"/>
        </w:rPr>
      </w:pPr>
    </w:p>
    <w:p w14:paraId="4746DEA6" w14:textId="77777777" w:rsidR="006466AD" w:rsidRDefault="006466AD" w:rsidP="00B54518">
      <w:pPr>
        <w:rPr>
          <w:rFonts w:ascii="Times New Roman" w:hAnsi="Times New Roman" w:cs="Times New Roman"/>
          <w:sz w:val="20"/>
          <w:szCs w:val="20"/>
        </w:rPr>
      </w:pPr>
    </w:p>
    <w:p w14:paraId="04D872F4" w14:textId="77777777" w:rsidR="006466AD" w:rsidRDefault="006466AD" w:rsidP="00B54518">
      <w:pPr>
        <w:rPr>
          <w:rFonts w:ascii="Times New Roman" w:hAnsi="Times New Roman" w:cs="Times New Roman"/>
          <w:sz w:val="20"/>
          <w:szCs w:val="20"/>
        </w:rPr>
      </w:pPr>
    </w:p>
    <w:p w14:paraId="7EBEBCA6" w14:textId="77777777" w:rsidR="006466AD" w:rsidRDefault="006466AD" w:rsidP="00B54518">
      <w:pPr>
        <w:rPr>
          <w:rFonts w:ascii="Times New Roman" w:hAnsi="Times New Roman" w:cs="Times New Roman"/>
          <w:sz w:val="20"/>
          <w:szCs w:val="20"/>
        </w:rPr>
      </w:pPr>
    </w:p>
    <w:p w14:paraId="76582D7A" w14:textId="77777777" w:rsidR="006466AD" w:rsidRDefault="006466AD" w:rsidP="00B54518">
      <w:pPr>
        <w:rPr>
          <w:rFonts w:ascii="Times New Roman" w:hAnsi="Times New Roman" w:cs="Times New Roman"/>
          <w:sz w:val="20"/>
          <w:szCs w:val="20"/>
        </w:rPr>
      </w:pPr>
    </w:p>
    <w:p w14:paraId="2FD5A738" w14:textId="77777777" w:rsidR="006466AD" w:rsidRDefault="006466AD" w:rsidP="00B54518">
      <w:pPr>
        <w:rPr>
          <w:rFonts w:ascii="Times New Roman" w:hAnsi="Times New Roman" w:cs="Times New Roman"/>
          <w:sz w:val="20"/>
          <w:szCs w:val="20"/>
        </w:rPr>
      </w:pPr>
    </w:p>
    <w:p w14:paraId="327CD999" w14:textId="77777777" w:rsidR="006466AD" w:rsidRDefault="006466AD" w:rsidP="00B54518">
      <w:pPr>
        <w:rPr>
          <w:rFonts w:ascii="Times New Roman" w:hAnsi="Times New Roman" w:cs="Times New Roman"/>
          <w:sz w:val="20"/>
          <w:szCs w:val="20"/>
        </w:rPr>
      </w:pPr>
    </w:p>
    <w:p w14:paraId="593C774F" w14:textId="77777777" w:rsidR="006466AD" w:rsidRDefault="006466AD" w:rsidP="00B54518">
      <w:pPr>
        <w:rPr>
          <w:rFonts w:ascii="Times New Roman" w:hAnsi="Times New Roman" w:cs="Times New Roman"/>
          <w:sz w:val="20"/>
          <w:szCs w:val="20"/>
        </w:rPr>
      </w:pPr>
    </w:p>
    <w:p w14:paraId="7FB9F8CC" w14:textId="77777777" w:rsidR="006466AD" w:rsidRDefault="006466AD" w:rsidP="00B54518">
      <w:pPr>
        <w:rPr>
          <w:rFonts w:ascii="Times New Roman" w:hAnsi="Times New Roman" w:cs="Times New Roman"/>
          <w:sz w:val="20"/>
          <w:szCs w:val="20"/>
        </w:rPr>
      </w:pPr>
    </w:p>
    <w:p w14:paraId="7896CF77" w14:textId="22983018" w:rsidR="005C6F22" w:rsidRPr="007C5EBB" w:rsidRDefault="005C6F22" w:rsidP="00B54518">
      <w:pPr>
        <w:rPr>
          <w:rFonts w:ascii="Times New Roman" w:hAnsi="Times New Roman" w:cs="Times New Roman"/>
          <w:sz w:val="20"/>
          <w:szCs w:val="20"/>
        </w:rPr>
      </w:pPr>
      <w:r w:rsidRPr="007C5EBB">
        <w:rPr>
          <w:rFonts w:ascii="Times New Roman" w:hAnsi="Times New Roman" w:cs="Times New Roman"/>
          <w:sz w:val="20"/>
          <w:szCs w:val="20"/>
        </w:rPr>
        <w:t>Holt, K. (2011)</w:t>
      </w:r>
      <w:r w:rsidR="00D46858" w:rsidRPr="007C5EBB">
        <w:rPr>
          <w:rFonts w:ascii="Times New Roman" w:hAnsi="Times New Roman" w:cs="Times New Roman"/>
          <w:sz w:val="20"/>
          <w:szCs w:val="20"/>
        </w:rPr>
        <w:t>.</w:t>
      </w:r>
      <w:r w:rsidRPr="007C5EBB">
        <w:rPr>
          <w:rFonts w:ascii="Times New Roman" w:hAnsi="Times New Roman" w:cs="Times New Roman"/>
          <w:sz w:val="20"/>
          <w:szCs w:val="20"/>
        </w:rPr>
        <w:t xml:space="preserve"> Dentists and Head Start: What You Should Know and How You Can Help (2</w:t>
      </w:r>
      <w:r w:rsidRPr="007C5EBB">
        <w:rPr>
          <w:rFonts w:ascii="Times New Roman" w:hAnsi="Times New Roman" w:cs="Times New Roman"/>
          <w:sz w:val="20"/>
          <w:szCs w:val="20"/>
          <w:vertAlign w:val="superscript"/>
        </w:rPr>
        <w:t>nd</w:t>
      </w:r>
      <w:r w:rsidRPr="007C5EBB">
        <w:rPr>
          <w:rFonts w:ascii="Times New Roman" w:hAnsi="Times New Roman" w:cs="Times New Roman"/>
          <w:sz w:val="20"/>
          <w:szCs w:val="20"/>
        </w:rPr>
        <w:t xml:space="preserve"> ed.). Washington DC: National Maternal and Child Oral Health Resource Center. </w:t>
      </w:r>
    </w:p>
    <w:p w14:paraId="32C202A8" w14:textId="77777777" w:rsidR="005C6F22" w:rsidRPr="007C5EBB" w:rsidRDefault="005C6F22" w:rsidP="00B54518">
      <w:pPr>
        <w:rPr>
          <w:rFonts w:ascii="Times New Roman" w:hAnsi="Times New Roman" w:cs="Times New Roman"/>
          <w:sz w:val="20"/>
          <w:szCs w:val="20"/>
          <w:highlight w:val="yellow"/>
        </w:rPr>
      </w:pPr>
    </w:p>
    <w:p w14:paraId="57ECAA77" w14:textId="5444A219" w:rsidR="005C6F22" w:rsidRPr="007C5EBB" w:rsidRDefault="00B61674" w:rsidP="00B54518">
      <w:pPr>
        <w:rPr>
          <w:rFonts w:ascii="Times New Roman" w:hAnsi="Times New Roman" w:cs="Times New Roman"/>
          <w:sz w:val="20"/>
          <w:szCs w:val="20"/>
        </w:rPr>
      </w:pPr>
      <w:r w:rsidRPr="007C5EBB">
        <w:rPr>
          <w:rFonts w:ascii="Times New Roman" w:eastAsia="Times New Roman" w:hAnsi="Times New Roman" w:cs="Times New Roman"/>
          <w:color w:val="333333"/>
          <w:sz w:val="20"/>
          <w:szCs w:val="20"/>
          <w:shd w:val="clear" w:color="auto" w:fill="FFFFFF"/>
        </w:rPr>
        <w:t>National Center on Early Childhood Health and Wellness.</w:t>
      </w:r>
      <w:r w:rsidR="005C6F22" w:rsidRPr="007C5EBB">
        <w:rPr>
          <w:rFonts w:ascii="Times New Roman" w:eastAsia="Times New Roman" w:hAnsi="Times New Roman" w:cs="Times New Roman"/>
          <w:color w:val="333333"/>
          <w:sz w:val="20"/>
          <w:szCs w:val="20"/>
          <w:shd w:val="clear" w:color="auto" w:fill="FFFFFF"/>
        </w:rPr>
        <w:t xml:space="preserve"> Oral Health Assessment, Follow-Up, and Treatment.</w:t>
      </w:r>
      <w:r w:rsidR="006B260B" w:rsidRPr="007C5EBB">
        <w:rPr>
          <w:rFonts w:ascii="Times New Roman" w:eastAsia="Times New Roman" w:hAnsi="Times New Roman" w:cs="Times New Roman"/>
          <w:color w:val="333333"/>
          <w:sz w:val="20"/>
          <w:szCs w:val="20"/>
          <w:shd w:val="clear" w:color="auto" w:fill="FFFFFF"/>
        </w:rPr>
        <w:t xml:space="preserve"> 2015.</w:t>
      </w:r>
    </w:p>
    <w:p w14:paraId="15B131E7" w14:textId="77777777" w:rsidR="00B54518" w:rsidRPr="007C5EBB" w:rsidRDefault="00B54518" w:rsidP="00B54518">
      <w:pPr>
        <w:rPr>
          <w:rFonts w:ascii="Times New Roman" w:eastAsia="MS Mincho" w:hAnsi="Times New Roman" w:cs="Times New Roman"/>
          <w:sz w:val="20"/>
          <w:szCs w:val="20"/>
          <w:highlight w:val="yellow"/>
          <w:lang w:eastAsia="ja-JP"/>
        </w:rPr>
      </w:pPr>
    </w:p>
    <w:p w14:paraId="56320A6B" w14:textId="17BC30FA" w:rsidR="005C6F22" w:rsidRPr="007C5EBB" w:rsidRDefault="005C6F22" w:rsidP="005C6F22">
      <w:pPr>
        <w:rPr>
          <w:rFonts w:ascii="Times New Roman" w:hAnsi="Times New Roman" w:cs="Times New Roman"/>
          <w:sz w:val="20"/>
          <w:szCs w:val="20"/>
        </w:rPr>
      </w:pPr>
      <w:r w:rsidRPr="007C5EBB">
        <w:rPr>
          <w:rFonts w:ascii="Times New Roman" w:hAnsi="Times New Roman" w:cs="Times New Roman"/>
          <w:sz w:val="20"/>
          <w:szCs w:val="20"/>
        </w:rPr>
        <w:t>Poland</w:t>
      </w:r>
      <w:r w:rsidR="001E48BC" w:rsidRPr="007C5EBB">
        <w:rPr>
          <w:rFonts w:ascii="Times New Roman" w:hAnsi="Times New Roman" w:cs="Times New Roman"/>
          <w:sz w:val="20"/>
          <w:szCs w:val="20"/>
        </w:rPr>
        <w:t>,</w:t>
      </w:r>
      <w:r w:rsidRPr="007C5EBB">
        <w:rPr>
          <w:rFonts w:ascii="Times New Roman" w:hAnsi="Times New Roman" w:cs="Times New Roman"/>
          <w:sz w:val="20"/>
          <w:szCs w:val="20"/>
        </w:rPr>
        <w:t xml:space="preserve"> C 3</w:t>
      </w:r>
      <w:r w:rsidRPr="007C5EBB">
        <w:rPr>
          <w:rFonts w:ascii="Times New Roman" w:hAnsi="Times New Roman" w:cs="Times New Roman"/>
          <w:sz w:val="20"/>
          <w:szCs w:val="20"/>
          <w:vertAlign w:val="superscript"/>
        </w:rPr>
        <w:t>rd</w:t>
      </w:r>
      <w:r w:rsidRPr="007C5EBB">
        <w:rPr>
          <w:rFonts w:ascii="Times New Roman" w:hAnsi="Times New Roman" w:cs="Times New Roman"/>
          <w:sz w:val="20"/>
          <w:szCs w:val="20"/>
        </w:rPr>
        <w:t>, Hale</w:t>
      </w:r>
      <w:r w:rsidR="001E48BC" w:rsidRPr="007C5EBB">
        <w:rPr>
          <w:rFonts w:ascii="Times New Roman" w:hAnsi="Times New Roman" w:cs="Times New Roman"/>
          <w:sz w:val="20"/>
          <w:szCs w:val="20"/>
        </w:rPr>
        <w:t>,</w:t>
      </w:r>
      <w:r w:rsidRPr="007C5EBB">
        <w:rPr>
          <w:rFonts w:ascii="Times New Roman" w:hAnsi="Times New Roman" w:cs="Times New Roman"/>
          <w:sz w:val="20"/>
          <w:szCs w:val="20"/>
        </w:rPr>
        <w:t xml:space="preserve"> K</w:t>
      </w:r>
      <w:r w:rsidR="001E48BC" w:rsidRPr="007C5EBB">
        <w:rPr>
          <w:rFonts w:ascii="Times New Roman" w:hAnsi="Times New Roman" w:cs="Times New Roman"/>
          <w:sz w:val="20"/>
          <w:szCs w:val="20"/>
        </w:rPr>
        <w:t>.</w:t>
      </w:r>
      <w:r w:rsidRPr="007C5EBB">
        <w:rPr>
          <w:rFonts w:ascii="Times New Roman" w:hAnsi="Times New Roman" w:cs="Times New Roman"/>
          <w:sz w:val="20"/>
          <w:szCs w:val="20"/>
        </w:rPr>
        <w:t xml:space="preserve">J. (2003). Providing oral health to the little ones. </w:t>
      </w:r>
      <w:proofErr w:type="gramStart"/>
      <w:r w:rsidRPr="007C5EBB">
        <w:rPr>
          <w:rFonts w:ascii="Times New Roman" w:hAnsi="Times New Roman" w:cs="Times New Roman"/>
          <w:sz w:val="20"/>
          <w:szCs w:val="20"/>
        </w:rPr>
        <w:t xml:space="preserve">Journal of </w:t>
      </w:r>
      <w:r w:rsidR="001E48BC" w:rsidRPr="007C5EBB">
        <w:rPr>
          <w:rFonts w:ascii="Times New Roman" w:hAnsi="Times New Roman" w:cs="Times New Roman"/>
          <w:sz w:val="20"/>
          <w:szCs w:val="20"/>
        </w:rPr>
        <w:t xml:space="preserve">the Indiana </w:t>
      </w:r>
      <w:r w:rsidRPr="007C5EBB">
        <w:rPr>
          <w:rFonts w:ascii="Times New Roman" w:hAnsi="Times New Roman" w:cs="Times New Roman"/>
          <w:sz w:val="20"/>
          <w:szCs w:val="20"/>
        </w:rPr>
        <w:t>Dental Association.</w:t>
      </w:r>
      <w:proofErr w:type="gramEnd"/>
      <w:r w:rsidRPr="007C5EBB">
        <w:rPr>
          <w:rFonts w:ascii="Times New Roman" w:hAnsi="Times New Roman" w:cs="Times New Roman"/>
          <w:sz w:val="20"/>
          <w:szCs w:val="20"/>
        </w:rPr>
        <w:t xml:space="preserve"> 82</w:t>
      </w:r>
      <w:r w:rsidR="001E48BC" w:rsidRPr="007C5EBB">
        <w:rPr>
          <w:rFonts w:ascii="Times New Roman" w:hAnsi="Times New Roman" w:cs="Times New Roman"/>
          <w:sz w:val="20"/>
          <w:szCs w:val="20"/>
        </w:rPr>
        <w:t>,</w:t>
      </w:r>
      <w:r w:rsidRPr="007C5EBB">
        <w:rPr>
          <w:rFonts w:ascii="Times New Roman" w:hAnsi="Times New Roman" w:cs="Times New Roman"/>
          <w:sz w:val="20"/>
          <w:szCs w:val="20"/>
        </w:rPr>
        <w:t>8-14.</w:t>
      </w:r>
    </w:p>
    <w:p w14:paraId="69494161" w14:textId="77777777" w:rsidR="005C6F22" w:rsidRPr="007C5EBB" w:rsidRDefault="005C6F22" w:rsidP="005C6F22">
      <w:pPr>
        <w:rPr>
          <w:rFonts w:ascii="Times New Roman" w:hAnsi="Times New Roman" w:cs="Times New Roman"/>
          <w:sz w:val="20"/>
          <w:szCs w:val="20"/>
          <w:highlight w:val="yellow"/>
        </w:rPr>
      </w:pPr>
    </w:p>
    <w:p w14:paraId="4478CC7A" w14:textId="471E373F" w:rsidR="005C6F22" w:rsidRPr="007C5EBB" w:rsidRDefault="005C6F22" w:rsidP="005C6F22">
      <w:pPr>
        <w:rPr>
          <w:rFonts w:ascii="Times New Roman" w:hAnsi="Times New Roman" w:cs="Times New Roman"/>
          <w:sz w:val="20"/>
          <w:szCs w:val="20"/>
        </w:rPr>
      </w:pPr>
      <w:proofErr w:type="gramStart"/>
      <w:r w:rsidRPr="007C5EBB">
        <w:rPr>
          <w:rFonts w:ascii="Times New Roman" w:eastAsia="MS Mincho" w:hAnsi="Times New Roman" w:cs="Times New Roman"/>
          <w:sz w:val="20"/>
          <w:szCs w:val="20"/>
          <w:lang w:eastAsia="ja-JP"/>
        </w:rPr>
        <w:t>United States Department of Agriculture, Food and Nutrition Services.</w:t>
      </w:r>
      <w:proofErr w:type="gramEnd"/>
      <w:r w:rsidRPr="007C5EBB">
        <w:rPr>
          <w:rFonts w:ascii="Times New Roman" w:eastAsia="MS Mincho" w:hAnsi="Times New Roman" w:cs="Times New Roman"/>
          <w:sz w:val="20"/>
          <w:szCs w:val="20"/>
          <w:lang w:eastAsia="ja-JP"/>
        </w:rPr>
        <w:t xml:space="preserve"> (1999)</w:t>
      </w:r>
      <w:r w:rsidR="00940A7D" w:rsidRPr="007C5EBB">
        <w:rPr>
          <w:rFonts w:ascii="Times New Roman" w:eastAsia="MS Mincho" w:hAnsi="Times New Roman" w:cs="Times New Roman"/>
          <w:sz w:val="20"/>
          <w:szCs w:val="20"/>
          <w:lang w:eastAsia="ja-JP"/>
        </w:rPr>
        <w:t>.</w:t>
      </w:r>
      <w:r w:rsidRPr="007C5EBB">
        <w:rPr>
          <w:rFonts w:ascii="Times New Roman" w:eastAsia="MS Mincho" w:hAnsi="Times New Roman" w:cs="Times New Roman"/>
          <w:sz w:val="20"/>
          <w:szCs w:val="20"/>
          <w:lang w:eastAsia="ja-JP"/>
        </w:rPr>
        <w:t xml:space="preserve"> “WIC and Head Start, Partners in Promoting Health and Nutrition for Young Children and Families.” </w:t>
      </w:r>
    </w:p>
    <w:p w14:paraId="58C69724" w14:textId="77777777" w:rsidR="005C6F22" w:rsidRPr="007C5EBB" w:rsidRDefault="005C6F22" w:rsidP="005C6F22">
      <w:pPr>
        <w:rPr>
          <w:rFonts w:ascii="Times New Roman" w:hAnsi="Times New Roman" w:cs="Times New Roman"/>
          <w:sz w:val="20"/>
          <w:szCs w:val="20"/>
          <w:highlight w:val="yellow"/>
        </w:rPr>
      </w:pPr>
    </w:p>
    <w:p w14:paraId="4A435F07" w14:textId="33F91CB6" w:rsidR="005C6F22" w:rsidRPr="007C5EBB" w:rsidRDefault="005C6F22" w:rsidP="005C6F22">
      <w:pPr>
        <w:rPr>
          <w:rFonts w:ascii="Times New Roman" w:hAnsi="Times New Roman" w:cs="Times New Roman"/>
          <w:sz w:val="20"/>
          <w:szCs w:val="20"/>
        </w:rPr>
      </w:pPr>
      <w:r w:rsidRPr="007C5EBB">
        <w:rPr>
          <w:rFonts w:ascii="Times New Roman" w:hAnsi="Times New Roman" w:cs="Times New Roman"/>
          <w:sz w:val="20"/>
          <w:szCs w:val="20"/>
        </w:rPr>
        <w:t>Vargas</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 xml:space="preserve"> C</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M</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 xml:space="preserve">, </w:t>
      </w:r>
      <w:proofErr w:type="spellStart"/>
      <w:r w:rsidRPr="007C5EBB">
        <w:rPr>
          <w:rFonts w:ascii="Times New Roman" w:hAnsi="Times New Roman" w:cs="Times New Roman"/>
          <w:sz w:val="20"/>
          <w:szCs w:val="20"/>
        </w:rPr>
        <w:t>Crall</w:t>
      </w:r>
      <w:proofErr w:type="spellEnd"/>
      <w:r w:rsidR="00940A7D" w:rsidRPr="007C5EBB">
        <w:rPr>
          <w:rFonts w:ascii="Times New Roman" w:hAnsi="Times New Roman" w:cs="Times New Roman"/>
          <w:sz w:val="20"/>
          <w:szCs w:val="20"/>
        </w:rPr>
        <w:t>,</w:t>
      </w:r>
      <w:r w:rsidRPr="007C5EBB">
        <w:rPr>
          <w:rFonts w:ascii="Times New Roman" w:hAnsi="Times New Roman" w:cs="Times New Roman"/>
          <w:sz w:val="20"/>
          <w:szCs w:val="20"/>
        </w:rPr>
        <w:t xml:space="preserve"> J</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J</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 Schneider</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 xml:space="preserve"> D</w:t>
      </w:r>
      <w:r w:rsidR="00940A7D" w:rsidRPr="007C5EBB">
        <w:rPr>
          <w:rFonts w:ascii="Times New Roman" w:hAnsi="Times New Roman" w:cs="Times New Roman"/>
          <w:sz w:val="20"/>
          <w:szCs w:val="20"/>
        </w:rPr>
        <w:t>.</w:t>
      </w:r>
      <w:r w:rsidRPr="007C5EBB">
        <w:rPr>
          <w:rFonts w:ascii="Times New Roman" w:hAnsi="Times New Roman" w:cs="Times New Roman"/>
          <w:sz w:val="20"/>
          <w:szCs w:val="20"/>
        </w:rPr>
        <w:t xml:space="preserve">A. (1998). “Sociodemographic distribution of pediatric dental caries.” NHANES III, 1988-1994. </w:t>
      </w:r>
      <w:proofErr w:type="gramStart"/>
      <w:r w:rsidRPr="007C5EBB">
        <w:rPr>
          <w:rFonts w:ascii="Times New Roman" w:hAnsi="Times New Roman" w:cs="Times New Roman"/>
          <w:sz w:val="20"/>
          <w:szCs w:val="20"/>
        </w:rPr>
        <w:t>Journal of A</w:t>
      </w:r>
      <w:r w:rsidR="00940A7D" w:rsidRPr="007C5EBB">
        <w:rPr>
          <w:rFonts w:ascii="Times New Roman" w:hAnsi="Times New Roman" w:cs="Times New Roman"/>
          <w:sz w:val="20"/>
          <w:szCs w:val="20"/>
        </w:rPr>
        <w:t>merican Dental Association.</w:t>
      </w:r>
      <w:proofErr w:type="gramEnd"/>
      <w:r w:rsidR="00940A7D" w:rsidRPr="007C5EBB">
        <w:rPr>
          <w:rFonts w:ascii="Times New Roman" w:hAnsi="Times New Roman" w:cs="Times New Roman"/>
          <w:sz w:val="20"/>
          <w:szCs w:val="20"/>
        </w:rPr>
        <w:t xml:space="preserve"> 129, </w:t>
      </w:r>
      <w:r w:rsidRPr="007C5EBB">
        <w:rPr>
          <w:rFonts w:ascii="Times New Roman" w:hAnsi="Times New Roman" w:cs="Times New Roman"/>
          <w:sz w:val="20"/>
          <w:szCs w:val="20"/>
        </w:rPr>
        <w:t>1229-1238.</w:t>
      </w:r>
    </w:p>
    <w:p w14:paraId="6DB6365D" w14:textId="77777777" w:rsidR="005C6F22" w:rsidRPr="007C5EBB" w:rsidRDefault="005C6F22" w:rsidP="005C6F22">
      <w:pPr>
        <w:rPr>
          <w:rFonts w:ascii="Times New Roman" w:hAnsi="Times New Roman" w:cs="Times New Roman"/>
          <w:sz w:val="20"/>
          <w:szCs w:val="20"/>
          <w:highlight w:val="yellow"/>
        </w:rPr>
      </w:pPr>
    </w:p>
    <w:p w14:paraId="5F0E19BD" w14:textId="6C985E35" w:rsidR="0027469F" w:rsidRPr="007C5EBB" w:rsidRDefault="005C6F22" w:rsidP="00B54518">
      <w:pPr>
        <w:rPr>
          <w:rFonts w:ascii="Times New Roman" w:hAnsi="Times New Roman" w:cs="Times New Roman"/>
          <w:sz w:val="20"/>
          <w:szCs w:val="20"/>
        </w:rPr>
      </w:pPr>
      <w:proofErr w:type="spellStart"/>
      <w:proofErr w:type="gramStart"/>
      <w:r w:rsidRPr="007C5EBB">
        <w:rPr>
          <w:rFonts w:ascii="Times New Roman" w:hAnsi="Times New Roman" w:cs="Times New Roman"/>
          <w:sz w:val="20"/>
          <w:szCs w:val="20"/>
        </w:rPr>
        <w:t>Wachino</w:t>
      </w:r>
      <w:proofErr w:type="spellEnd"/>
      <w:r w:rsidRPr="007C5EBB">
        <w:rPr>
          <w:rFonts w:ascii="Times New Roman" w:hAnsi="Times New Roman" w:cs="Times New Roman"/>
          <w:sz w:val="20"/>
          <w:szCs w:val="20"/>
        </w:rPr>
        <w:t>, V. (2011).</w:t>
      </w:r>
      <w:proofErr w:type="gramEnd"/>
      <w:r w:rsidRPr="007C5EBB">
        <w:rPr>
          <w:rFonts w:ascii="Times New Roman" w:hAnsi="Times New Roman" w:cs="Times New Roman"/>
          <w:sz w:val="20"/>
          <w:szCs w:val="20"/>
        </w:rPr>
        <w:t xml:space="preserve"> New Directions for Medicaid and CHIP Dental Programs: Children and Adults Health Programs Group, Center for Medicaid, CHIP, and Survey &amp; Certification. Monday, June 27, 2011. Washington DC. </w:t>
      </w:r>
      <w:proofErr w:type="gramStart"/>
      <w:r w:rsidRPr="007C5EBB">
        <w:rPr>
          <w:rFonts w:ascii="Times New Roman" w:hAnsi="Times New Roman" w:cs="Times New Roman"/>
          <w:sz w:val="20"/>
          <w:szCs w:val="20"/>
        </w:rPr>
        <w:t>Centers for Medicare and Medicaid Services.</w:t>
      </w:r>
      <w:proofErr w:type="gramEnd"/>
    </w:p>
    <w:sectPr w:rsidR="0027469F" w:rsidRPr="007C5EBB" w:rsidSect="006466AD">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0CBA" w14:textId="77777777" w:rsidR="009232AB" w:rsidRDefault="009232AB" w:rsidP="00E44059">
      <w:r>
        <w:separator/>
      </w:r>
    </w:p>
  </w:endnote>
  <w:endnote w:type="continuationSeparator" w:id="0">
    <w:p w14:paraId="0C99AF56" w14:textId="77777777" w:rsidR="009232AB" w:rsidRDefault="009232AB" w:rsidP="00E44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29D97" w14:textId="77777777" w:rsidR="003D0635" w:rsidRDefault="003D0635" w:rsidP="00406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47468" w14:textId="77777777" w:rsidR="003D0635" w:rsidRDefault="003D0635" w:rsidP="003D063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100D3" w14:textId="77777777" w:rsidR="003D0635" w:rsidRDefault="003D0635" w:rsidP="004068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14:paraId="10BCDB2D" w14:textId="77777777" w:rsidR="003D0635" w:rsidRDefault="003D0635" w:rsidP="003D063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A2428C" w14:textId="77777777" w:rsidR="009232AB" w:rsidRDefault="009232AB" w:rsidP="00E44059">
      <w:r>
        <w:separator/>
      </w:r>
    </w:p>
  </w:footnote>
  <w:footnote w:type="continuationSeparator" w:id="0">
    <w:p w14:paraId="0D0AD6C8" w14:textId="77777777" w:rsidR="009232AB" w:rsidRDefault="009232AB" w:rsidP="00E440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406D" w14:textId="77777777" w:rsidR="00752377" w:rsidRDefault="00752377" w:rsidP="004A63D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AC126A" w14:textId="77777777" w:rsidR="00752377" w:rsidRDefault="00752377" w:rsidP="00E4405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42270" w14:textId="6583B3FA" w:rsidR="00822806" w:rsidRDefault="00822806">
    <w:pPr>
      <w:pStyle w:val="Header"/>
      <w:jc w:val="right"/>
    </w:pPr>
    <w:r>
      <w:t xml:space="preserve">Nevada Journal of Public Health; </w:t>
    </w:r>
    <w:proofErr w:type="spellStart"/>
    <w:r>
      <w:t>vol</w:t>
    </w:r>
    <w:proofErr w:type="spellEnd"/>
    <w:r>
      <w:t xml:space="preserve"> 13 (2016) Hoang et </w:t>
    </w:r>
    <w:proofErr w:type="gramStart"/>
    <w:r>
      <w:t xml:space="preserve">al   </w:t>
    </w:r>
    <w:proofErr w:type="gramEnd"/>
    <w:sdt>
      <w:sdtPr>
        <w:id w:val="-95262602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D0635">
          <w:rPr>
            <w:noProof/>
          </w:rPr>
          <w:t>39</w:t>
        </w:r>
        <w:r>
          <w:rPr>
            <w:noProof/>
          </w:rPr>
          <w:fldChar w:fldCharType="end"/>
        </w:r>
      </w:sdtContent>
    </w:sdt>
  </w:p>
  <w:p w14:paraId="378AD064" w14:textId="77777777" w:rsidR="00752377" w:rsidRDefault="00752377" w:rsidP="00E4405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2C4"/>
    <w:multiLevelType w:val="hybridMultilevel"/>
    <w:tmpl w:val="58286E28"/>
    <w:lvl w:ilvl="0" w:tplc="785CF2EE">
      <w:start w:val="1"/>
      <w:numFmt w:val="bullet"/>
      <w:lvlText w:val=""/>
      <w:lvlJc w:val="left"/>
      <w:pPr>
        <w:tabs>
          <w:tab w:val="num" w:pos="720"/>
        </w:tabs>
        <w:ind w:left="720" w:hanging="360"/>
      </w:pPr>
      <w:rPr>
        <w:rFonts w:ascii="Wingdings" w:hAnsi="Wingdings" w:hint="default"/>
      </w:rPr>
    </w:lvl>
    <w:lvl w:ilvl="1" w:tplc="3DF432A0" w:tentative="1">
      <w:start w:val="1"/>
      <w:numFmt w:val="bullet"/>
      <w:lvlText w:val=""/>
      <w:lvlJc w:val="left"/>
      <w:pPr>
        <w:tabs>
          <w:tab w:val="num" w:pos="1440"/>
        </w:tabs>
        <w:ind w:left="1440" w:hanging="360"/>
      </w:pPr>
      <w:rPr>
        <w:rFonts w:ascii="Wingdings" w:hAnsi="Wingdings" w:hint="default"/>
      </w:rPr>
    </w:lvl>
    <w:lvl w:ilvl="2" w:tplc="964A3F44" w:tentative="1">
      <w:start w:val="1"/>
      <w:numFmt w:val="bullet"/>
      <w:lvlText w:val=""/>
      <w:lvlJc w:val="left"/>
      <w:pPr>
        <w:tabs>
          <w:tab w:val="num" w:pos="2160"/>
        </w:tabs>
        <w:ind w:left="2160" w:hanging="360"/>
      </w:pPr>
      <w:rPr>
        <w:rFonts w:ascii="Wingdings" w:hAnsi="Wingdings" w:hint="default"/>
      </w:rPr>
    </w:lvl>
    <w:lvl w:ilvl="3" w:tplc="7D34B61C" w:tentative="1">
      <w:start w:val="1"/>
      <w:numFmt w:val="bullet"/>
      <w:lvlText w:val=""/>
      <w:lvlJc w:val="left"/>
      <w:pPr>
        <w:tabs>
          <w:tab w:val="num" w:pos="2880"/>
        </w:tabs>
        <w:ind w:left="2880" w:hanging="360"/>
      </w:pPr>
      <w:rPr>
        <w:rFonts w:ascii="Wingdings" w:hAnsi="Wingdings" w:hint="default"/>
      </w:rPr>
    </w:lvl>
    <w:lvl w:ilvl="4" w:tplc="F5AECF5A" w:tentative="1">
      <w:start w:val="1"/>
      <w:numFmt w:val="bullet"/>
      <w:lvlText w:val=""/>
      <w:lvlJc w:val="left"/>
      <w:pPr>
        <w:tabs>
          <w:tab w:val="num" w:pos="3600"/>
        </w:tabs>
        <w:ind w:left="3600" w:hanging="360"/>
      </w:pPr>
      <w:rPr>
        <w:rFonts w:ascii="Wingdings" w:hAnsi="Wingdings" w:hint="default"/>
      </w:rPr>
    </w:lvl>
    <w:lvl w:ilvl="5" w:tplc="5CD8371A" w:tentative="1">
      <w:start w:val="1"/>
      <w:numFmt w:val="bullet"/>
      <w:lvlText w:val=""/>
      <w:lvlJc w:val="left"/>
      <w:pPr>
        <w:tabs>
          <w:tab w:val="num" w:pos="4320"/>
        </w:tabs>
        <w:ind w:left="4320" w:hanging="360"/>
      </w:pPr>
      <w:rPr>
        <w:rFonts w:ascii="Wingdings" w:hAnsi="Wingdings" w:hint="default"/>
      </w:rPr>
    </w:lvl>
    <w:lvl w:ilvl="6" w:tplc="5D166DE6" w:tentative="1">
      <w:start w:val="1"/>
      <w:numFmt w:val="bullet"/>
      <w:lvlText w:val=""/>
      <w:lvlJc w:val="left"/>
      <w:pPr>
        <w:tabs>
          <w:tab w:val="num" w:pos="5040"/>
        </w:tabs>
        <w:ind w:left="5040" w:hanging="360"/>
      </w:pPr>
      <w:rPr>
        <w:rFonts w:ascii="Wingdings" w:hAnsi="Wingdings" w:hint="default"/>
      </w:rPr>
    </w:lvl>
    <w:lvl w:ilvl="7" w:tplc="856ADDF8" w:tentative="1">
      <w:start w:val="1"/>
      <w:numFmt w:val="bullet"/>
      <w:lvlText w:val=""/>
      <w:lvlJc w:val="left"/>
      <w:pPr>
        <w:tabs>
          <w:tab w:val="num" w:pos="5760"/>
        </w:tabs>
        <w:ind w:left="5760" w:hanging="360"/>
      </w:pPr>
      <w:rPr>
        <w:rFonts w:ascii="Wingdings" w:hAnsi="Wingdings" w:hint="default"/>
      </w:rPr>
    </w:lvl>
    <w:lvl w:ilvl="8" w:tplc="3530EAD8" w:tentative="1">
      <w:start w:val="1"/>
      <w:numFmt w:val="bullet"/>
      <w:lvlText w:val=""/>
      <w:lvlJc w:val="left"/>
      <w:pPr>
        <w:tabs>
          <w:tab w:val="num" w:pos="6480"/>
        </w:tabs>
        <w:ind w:left="6480" w:hanging="360"/>
      </w:pPr>
      <w:rPr>
        <w:rFonts w:ascii="Wingdings" w:hAnsi="Wingdings" w:hint="default"/>
      </w:rPr>
    </w:lvl>
  </w:abstractNum>
  <w:abstractNum w:abstractNumId="1">
    <w:nsid w:val="240D52B4"/>
    <w:multiLevelType w:val="hybridMultilevel"/>
    <w:tmpl w:val="F8C2CFB2"/>
    <w:lvl w:ilvl="0" w:tplc="98F22B48">
      <w:start w:val="1"/>
      <w:numFmt w:val="bullet"/>
      <w:lvlText w:val=""/>
      <w:lvlJc w:val="left"/>
      <w:pPr>
        <w:tabs>
          <w:tab w:val="num" w:pos="720"/>
        </w:tabs>
        <w:ind w:left="720" w:hanging="360"/>
      </w:pPr>
      <w:rPr>
        <w:rFonts w:ascii="Wingdings" w:hAnsi="Wingdings" w:hint="default"/>
      </w:rPr>
    </w:lvl>
    <w:lvl w:ilvl="1" w:tplc="E7F2AE26" w:tentative="1">
      <w:start w:val="1"/>
      <w:numFmt w:val="bullet"/>
      <w:lvlText w:val=""/>
      <w:lvlJc w:val="left"/>
      <w:pPr>
        <w:tabs>
          <w:tab w:val="num" w:pos="1440"/>
        </w:tabs>
        <w:ind w:left="1440" w:hanging="360"/>
      </w:pPr>
      <w:rPr>
        <w:rFonts w:ascii="Wingdings" w:hAnsi="Wingdings" w:hint="default"/>
      </w:rPr>
    </w:lvl>
    <w:lvl w:ilvl="2" w:tplc="8230E9AC" w:tentative="1">
      <w:start w:val="1"/>
      <w:numFmt w:val="bullet"/>
      <w:lvlText w:val=""/>
      <w:lvlJc w:val="left"/>
      <w:pPr>
        <w:tabs>
          <w:tab w:val="num" w:pos="2160"/>
        </w:tabs>
        <w:ind w:left="2160" w:hanging="360"/>
      </w:pPr>
      <w:rPr>
        <w:rFonts w:ascii="Wingdings" w:hAnsi="Wingdings" w:hint="default"/>
      </w:rPr>
    </w:lvl>
    <w:lvl w:ilvl="3" w:tplc="1D6C2E92" w:tentative="1">
      <w:start w:val="1"/>
      <w:numFmt w:val="bullet"/>
      <w:lvlText w:val=""/>
      <w:lvlJc w:val="left"/>
      <w:pPr>
        <w:tabs>
          <w:tab w:val="num" w:pos="2880"/>
        </w:tabs>
        <w:ind w:left="2880" w:hanging="360"/>
      </w:pPr>
      <w:rPr>
        <w:rFonts w:ascii="Wingdings" w:hAnsi="Wingdings" w:hint="default"/>
      </w:rPr>
    </w:lvl>
    <w:lvl w:ilvl="4" w:tplc="00446CE2" w:tentative="1">
      <w:start w:val="1"/>
      <w:numFmt w:val="bullet"/>
      <w:lvlText w:val=""/>
      <w:lvlJc w:val="left"/>
      <w:pPr>
        <w:tabs>
          <w:tab w:val="num" w:pos="3600"/>
        </w:tabs>
        <w:ind w:left="3600" w:hanging="360"/>
      </w:pPr>
      <w:rPr>
        <w:rFonts w:ascii="Wingdings" w:hAnsi="Wingdings" w:hint="default"/>
      </w:rPr>
    </w:lvl>
    <w:lvl w:ilvl="5" w:tplc="98240698" w:tentative="1">
      <w:start w:val="1"/>
      <w:numFmt w:val="bullet"/>
      <w:lvlText w:val=""/>
      <w:lvlJc w:val="left"/>
      <w:pPr>
        <w:tabs>
          <w:tab w:val="num" w:pos="4320"/>
        </w:tabs>
        <w:ind w:left="4320" w:hanging="360"/>
      </w:pPr>
      <w:rPr>
        <w:rFonts w:ascii="Wingdings" w:hAnsi="Wingdings" w:hint="default"/>
      </w:rPr>
    </w:lvl>
    <w:lvl w:ilvl="6" w:tplc="5EEAB438" w:tentative="1">
      <w:start w:val="1"/>
      <w:numFmt w:val="bullet"/>
      <w:lvlText w:val=""/>
      <w:lvlJc w:val="left"/>
      <w:pPr>
        <w:tabs>
          <w:tab w:val="num" w:pos="5040"/>
        </w:tabs>
        <w:ind w:left="5040" w:hanging="360"/>
      </w:pPr>
      <w:rPr>
        <w:rFonts w:ascii="Wingdings" w:hAnsi="Wingdings" w:hint="default"/>
      </w:rPr>
    </w:lvl>
    <w:lvl w:ilvl="7" w:tplc="6B007518" w:tentative="1">
      <w:start w:val="1"/>
      <w:numFmt w:val="bullet"/>
      <w:lvlText w:val=""/>
      <w:lvlJc w:val="left"/>
      <w:pPr>
        <w:tabs>
          <w:tab w:val="num" w:pos="5760"/>
        </w:tabs>
        <w:ind w:left="5760" w:hanging="360"/>
      </w:pPr>
      <w:rPr>
        <w:rFonts w:ascii="Wingdings" w:hAnsi="Wingdings" w:hint="default"/>
      </w:rPr>
    </w:lvl>
    <w:lvl w:ilvl="8" w:tplc="9C6A34A4" w:tentative="1">
      <w:start w:val="1"/>
      <w:numFmt w:val="bullet"/>
      <w:lvlText w:val=""/>
      <w:lvlJc w:val="left"/>
      <w:pPr>
        <w:tabs>
          <w:tab w:val="num" w:pos="6480"/>
        </w:tabs>
        <w:ind w:left="6480" w:hanging="360"/>
      </w:pPr>
      <w:rPr>
        <w:rFonts w:ascii="Wingdings" w:hAnsi="Wingdings" w:hint="default"/>
      </w:rPr>
    </w:lvl>
  </w:abstractNum>
  <w:abstractNum w:abstractNumId="2">
    <w:nsid w:val="4F5F3C24"/>
    <w:multiLevelType w:val="hybridMultilevel"/>
    <w:tmpl w:val="509266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10C6DE2"/>
    <w:multiLevelType w:val="hybridMultilevel"/>
    <w:tmpl w:val="7FB60FB2"/>
    <w:lvl w:ilvl="0" w:tplc="642A1934">
      <w:start w:val="1"/>
      <w:numFmt w:val="bullet"/>
      <w:lvlText w:val=""/>
      <w:lvlJc w:val="left"/>
      <w:pPr>
        <w:tabs>
          <w:tab w:val="num" w:pos="720"/>
        </w:tabs>
        <w:ind w:left="720" w:hanging="360"/>
      </w:pPr>
      <w:rPr>
        <w:rFonts w:ascii="Wingdings" w:hAnsi="Wingdings" w:hint="default"/>
      </w:rPr>
    </w:lvl>
    <w:lvl w:ilvl="1" w:tplc="38B02A92" w:tentative="1">
      <w:start w:val="1"/>
      <w:numFmt w:val="bullet"/>
      <w:lvlText w:val=""/>
      <w:lvlJc w:val="left"/>
      <w:pPr>
        <w:tabs>
          <w:tab w:val="num" w:pos="1440"/>
        </w:tabs>
        <w:ind w:left="1440" w:hanging="360"/>
      </w:pPr>
      <w:rPr>
        <w:rFonts w:ascii="Wingdings" w:hAnsi="Wingdings" w:hint="default"/>
      </w:rPr>
    </w:lvl>
    <w:lvl w:ilvl="2" w:tplc="6ADCD2BC" w:tentative="1">
      <w:start w:val="1"/>
      <w:numFmt w:val="bullet"/>
      <w:lvlText w:val=""/>
      <w:lvlJc w:val="left"/>
      <w:pPr>
        <w:tabs>
          <w:tab w:val="num" w:pos="2160"/>
        </w:tabs>
        <w:ind w:left="2160" w:hanging="360"/>
      </w:pPr>
      <w:rPr>
        <w:rFonts w:ascii="Wingdings" w:hAnsi="Wingdings" w:hint="default"/>
      </w:rPr>
    </w:lvl>
    <w:lvl w:ilvl="3" w:tplc="049873BE" w:tentative="1">
      <w:start w:val="1"/>
      <w:numFmt w:val="bullet"/>
      <w:lvlText w:val=""/>
      <w:lvlJc w:val="left"/>
      <w:pPr>
        <w:tabs>
          <w:tab w:val="num" w:pos="2880"/>
        </w:tabs>
        <w:ind w:left="2880" w:hanging="360"/>
      </w:pPr>
      <w:rPr>
        <w:rFonts w:ascii="Wingdings" w:hAnsi="Wingdings" w:hint="default"/>
      </w:rPr>
    </w:lvl>
    <w:lvl w:ilvl="4" w:tplc="E3389F60" w:tentative="1">
      <w:start w:val="1"/>
      <w:numFmt w:val="bullet"/>
      <w:lvlText w:val=""/>
      <w:lvlJc w:val="left"/>
      <w:pPr>
        <w:tabs>
          <w:tab w:val="num" w:pos="3600"/>
        </w:tabs>
        <w:ind w:left="3600" w:hanging="360"/>
      </w:pPr>
      <w:rPr>
        <w:rFonts w:ascii="Wingdings" w:hAnsi="Wingdings" w:hint="default"/>
      </w:rPr>
    </w:lvl>
    <w:lvl w:ilvl="5" w:tplc="AF50FC62" w:tentative="1">
      <w:start w:val="1"/>
      <w:numFmt w:val="bullet"/>
      <w:lvlText w:val=""/>
      <w:lvlJc w:val="left"/>
      <w:pPr>
        <w:tabs>
          <w:tab w:val="num" w:pos="4320"/>
        </w:tabs>
        <w:ind w:left="4320" w:hanging="360"/>
      </w:pPr>
      <w:rPr>
        <w:rFonts w:ascii="Wingdings" w:hAnsi="Wingdings" w:hint="default"/>
      </w:rPr>
    </w:lvl>
    <w:lvl w:ilvl="6" w:tplc="CDD647B0" w:tentative="1">
      <w:start w:val="1"/>
      <w:numFmt w:val="bullet"/>
      <w:lvlText w:val=""/>
      <w:lvlJc w:val="left"/>
      <w:pPr>
        <w:tabs>
          <w:tab w:val="num" w:pos="5040"/>
        </w:tabs>
        <w:ind w:left="5040" w:hanging="360"/>
      </w:pPr>
      <w:rPr>
        <w:rFonts w:ascii="Wingdings" w:hAnsi="Wingdings" w:hint="default"/>
      </w:rPr>
    </w:lvl>
    <w:lvl w:ilvl="7" w:tplc="94341438" w:tentative="1">
      <w:start w:val="1"/>
      <w:numFmt w:val="bullet"/>
      <w:lvlText w:val=""/>
      <w:lvlJc w:val="left"/>
      <w:pPr>
        <w:tabs>
          <w:tab w:val="num" w:pos="5760"/>
        </w:tabs>
        <w:ind w:left="5760" w:hanging="360"/>
      </w:pPr>
      <w:rPr>
        <w:rFonts w:ascii="Wingdings" w:hAnsi="Wingdings" w:hint="default"/>
      </w:rPr>
    </w:lvl>
    <w:lvl w:ilvl="8" w:tplc="EAE4B0BE" w:tentative="1">
      <w:start w:val="1"/>
      <w:numFmt w:val="bullet"/>
      <w:lvlText w:val=""/>
      <w:lvlJc w:val="left"/>
      <w:pPr>
        <w:tabs>
          <w:tab w:val="num" w:pos="6480"/>
        </w:tabs>
        <w:ind w:left="6480" w:hanging="360"/>
      </w:pPr>
      <w:rPr>
        <w:rFonts w:ascii="Wingdings" w:hAnsi="Wingdings" w:hint="default"/>
      </w:rPr>
    </w:lvl>
  </w:abstractNum>
  <w:abstractNum w:abstractNumId="4">
    <w:nsid w:val="55A277CD"/>
    <w:multiLevelType w:val="hybridMultilevel"/>
    <w:tmpl w:val="95B82ABE"/>
    <w:lvl w:ilvl="0" w:tplc="389C1CC6">
      <w:start w:val="1"/>
      <w:numFmt w:val="bullet"/>
      <w:lvlText w:val=""/>
      <w:lvlJc w:val="left"/>
      <w:pPr>
        <w:tabs>
          <w:tab w:val="num" w:pos="720"/>
        </w:tabs>
        <w:ind w:left="720" w:hanging="360"/>
      </w:pPr>
      <w:rPr>
        <w:rFonts w:ascii="Wingdings" w:hAnsi="Wingdings" w:hint="default"/>
      </w:rPr>
    </w:lvl>
    <w:lvl w:ilvl="1" w:tplc="2890A738" w:tentative="1">
      <w:start w:val="1"/>
      <w:numFmt w:val="bullet"/>
      <w:lvlText w:val=""/>
      <w:lvlJc w:val="left"/>
      <w:pPr>
        <w:tabs>
          <w:tab w:val="num" w:pos="1440"/>
        </w:tabs>
        <w:ind w:left="1440" w:hanging="360"/>
      </w:pPr>
      <w:rPr>
        <w:rFonts w:ascii="Wingdings" w:hAnsi="Wingdings" w:hint="default"/>
      </w:rPr>
    </w:lvl>
    <w:lvl w:ilvl="2" w:tplc="C02E5B22" w:tentative="1">
      <w:start w:val="1"/>
      <w:numFmt w:val="bullet"/>
      <w:lvlText w:val=""/>
      <w:lvlJc w:val="left"/>
      <w:pPr>
        <w:tabs>
          <w:tab w:val="num" w:pos="2160"/>
        </w:tabs>
        <w:ind w:left="2160" w:hanging="360"/>
      </w:pPr>
      <w:rPr>
        <w:rFonts w:ascii="Wingdings" w:hAnsi="Wingdings" w:hint="default"/>
      </w:rPr>
    </w:lvl>
    <w:lvl w:ilvl="3" w:tplc="811C725A" w:tentative="1">
      <w:start w:val="1"/>
      <w:numFmt w:val="bullet"/>
      <w:lvlText w:val=""/>
      <w:lvlJc w:val="left"/>
      <w:pPr>
        <w:tabs>
          <w:tab w:val="num" w:pos="2880"/>
        </w:tabs>
        <w:ind w:left="2880" w:hanging="360"/>
      </w:pPr>
      <w:rPr>
        <w:rFonts w:ascii="Wingdings" w:hAnsi="Wingdings" w:hint="default"/>
      </w:rPr>
    </w:lvl>
    <w:lvl w:ilvl="4" w:tplc="6BE6CD20" w:tentative="1">
      <w:start w:val="1"/>
      <w:numFmt w:val="bullet"/>
      <w:lvlText w:val=""/>
      <w:lvlJc w:val="left"/>
      <w:pPr>
        <w:tabs>
          <w:tab w:val="num" w:pos="3600"/>
        </w:tabs>
        <w:ind w:left="3600" w:hanging="360"/>
      </w:pPr>
      <w:rPr>
        <w:rFonts w:ascii="Wingdings" w:hAnsi="Wingdings" w:hint="default"/>
      </w:rPr>
    </w:lvl>
    <w:lvl w:ilvl="5" w:tplc="CDF4B8BC" w:tentative="1">
      <w:start w:val="1"/>
      <w:numFmt w:val="bullet"/>
      <w:lvlText w:val=""/>
      <w:lvlJc w:val="left"/>
      <w:pPr>
        <w:tabs>
          <w:tab w:val="num" w:pos="4320"/>
        </w:tabs>
        <w:ind w:left="4320" w:hanging="360"/>
      </w:pPr>
      <w:rPr>
        <w:rFonts w:ascii="Wingdings" w:hAnsi="Wingdings" w:hint="default"/>
      </w:rPr>
    </w:lvl>
    <w:lvl w:ilvl="6" w:tplc="995C069C" w:tentative="1">
      <w:start w:val="1"/>
      <w:numFmt w:val="bullet"/>
      <w:lvlText w:val=""/>
      <w:lvlJc w:val="left"/>
      <w:pPr>
        <w:tabs>
          <w:tab w:val="num" w:pos="5040"/>
        </w:tabs>
        <w:ind w:left="5040" w:hanging="360"/>
      </w:pPr>
      <w:rPr>
        <w:rFonts w:ascii="Wingdings" w:hAnsi="Wingdings" w:hint="default"/>
      </w:rPr>
    </w:lvl>
    <w:lvl w:ilvl="7" w:tplc="FA5680CE" w:tentative="1">
      <w:start w:val="1"/>
      <w:numFmt w:val="bullet"/>
      <w:lvlText w:val=""/>
      <w:lvlJc w:val="left"/>
      <w:pPr>
        <w:tabs>
          <w:tab w:val="num" w:pos="5760"/>
        </w:tabs>
        <w:ind w:left="5760" w:hanging="360"/>
      </w:pPr>
      <w:rPr>
        <w:rFonts w:ascii="Wingdings" w:hAnsi="Wingdings" w:hint="default"/>
      </w:rPr>
    </w:lvl>
    <w:lvl w:ilvl="8" w:tplc="CAC4687C" w:tentative="1">
      <w:start w:val="1"/>
      <w:numFmt w:val="bullet"/>
      <w:lvlText w:val=""/>
      <w:lvlJc w:val="left"/>
      <w:pPr>
        <w:tabs>
          <w:tab w:val="num" w:pos="6480"/>
        </w:tabs>
        <w:ind w:left="6480" w:hanging="360"/>
      </w:pPr>
      <w:rPr>
        <w:rFonts w:ascii="Wingdings" w:hAnsi="Wingdings" w:hint="default"/>
      </w:rPr>
    </w:lvl>
  </w:abstractNum>
  <w:abstractNum w:abstractNumId="5">
    <w:nsid w:val="690244F1"/>
    <w:multiLevelType w:val="hybridMultilevel"/>
    <w:tmpl w:val="1402FE00"/>
    <w:lvl w:ilvl="0" w:tplc="4CA6D4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A5"/>
    <w:rsid w:val="000035F9"/>
    <w:rsid w:val="00012443"/>
    <w:rsid w:val="000170AF"/>
    <w:rsid w:val="000208E7"/>
    <w:rsid w:val="0003146C"/>
    <w:rsid w:val="00033313"/>
    <w:rsid w:val="00033D3A"/>
    <w:rsid w:val="000369A2"/>
    <w:rsid w:val="0003728F"/>
    <w:rsid w:val="00040969"/>
    <w:rsid w:val="000508F1"/>
    <w:rsid w:val="0005352D"/>
    <w:rsid w:val="00054F36"/>
    <w:rsid w:val="00056A1A"/>
    <w:rsid w:val="00056A86"/>
    <w:rsid w:val="00062D2E"/>
    <w:rsid w:val="000636AE"/>
    <w:rsid w:val="00065AEF"/>
    <w:rsid w:val="00075CE1"/>
    <w:rsid w:val="0009425F"/>
    <w:rsid w:val="000A7F60"/>
    <w:rsid w:val="000B1668"/>
    <w:rsid w:val="000B18C1"/>
    <w:rsid w:val="000C2823"/>
    <w:rsid w:val="000D048E"/>
    <w:rsid w:val="000D54F2"/>
    <w:rsid w:val="000E54DE"/>
    <w:rsid w:val="000F1B95"/>
    <w:rsid w:val="000F5F90"/>
    <w:rsid w:val="00110EAF"/>
    <w:rsid w:val="001141D2"/>
    <w:rsid w:val="001229EB"/>
    <w:rsid w:val="00124984"/>
    <w:rsid w:val="001327CD"/>
    <w:rsid w:val="0015118E"/>
    <w:rsid w:val="00163DB9"/>
    <w:rsid w:val="00192937"/>
    <w:rsid w:val="0019441C"/>
    <w:rsid w:val="00196981"/>
    <w:rsid w:val="001A536B"/>
    <w:rsid w:val="001B14E4"/>
    <w:rsid w:val="001B475C"/>
    <w:rsid w:val="001B7D7F"/>
    <w:rsid w:val="001C2FA3"/>
    <w:rsid w:val="001C716A"/>
    <w:rsid w:val="001C78DD"/>
    <w:rsid w:val="001D0C9E"/>
    <w:rsid w:val="001D22E3"/>
    <w:rsid w:val="001E48BC"/>
    <w:rsid w:val="001E712F"/>
    <w:rsid w:val="001E71DE"/>
    <w:rsid w:val="001F075A"/>
    <w:rsid w:val="002069B1"/>
    <w:rsid w:val="00225251"/>
    <w:rsid w:val="002261DF"/>
    <w:rsid w:val="00243A35"/>
    <w:rsid w:val="002448B3"/>
    <w:rsid w:val="002513F9"/>
    <w:rsid w:val="0025478E"/>
    <w:rsid w:val="00255442"/>
    <w:rsid w:val="002568FC"/>
    <w:rsid w:val="00256CD0"/>
    <w:rsid w:val="00271200"/>
    <w:rsid w:val="0027469F"/>
    <w:rsid w:val="0028053F"/>
    <w:rsid w:val="002902EB"/>
    <w:rsid w:val="00294602"/>
    <w:rsid w:val="002952A4"/>
    <w:rsid w:val="002A06B4"/>
    <w:rsid w:val="002A0B45"/>
    <w:rsid w:val="002A187B"/>
    <w:rsid w:val="002A6479"/>
    <w:rsid w:val="002B4AB2"/>
    <w:rsid w:val="002C2411"/>
    <w:rsid w:val="002C2824"/>
    <w:rsid w:val="002C330B"/>
    <w:rsid w:val="002C6EDE"/>
    <w:rsid w:val="002C705B"/>
    <w:rsid w:val="002D457E"/>
    <w:rsid w:val="002D647E"/>
    <w:rsid w:val="002E2738"/>
    <w:rsid w:val="002E4559"/>
    <w:rsid w:val="00307264"/>
    <w:rsid w:val="0031012B"/>
    <w:rsid w:val="003109D0"/>
    <w:rsid w:val="0031742B"/>
    <w:rsid w:val="00322601"/>
    <w:rsid w:val="00331AA7"/>
    <w:rsid w:val="00332211"/>
    <w:rsid w:val="00345BE0"/>
    <w:rsid w:val="003537F2"/>
    <w:rsid w:val="00357B0F"/>
    <w:rsid w:val="00360629"/>
    <w:rsid w:val="003652F5"/>
    <w:rsid w:val="00371915"/>
    <w:rsid w:val="00371F46"/>
    <w:rsid w:val="00381669"/>
    <w:rsid w:val="003831D9"/>
    <w:rsid w:val="0038525A"/>
    <w:rsid w:val="003C2C29"/>
    <w:rsid w:val="003C3C2E"/>
    <w:rsid w:val="003D0635"/>
    <w:rsid w:val="003D23FF"/>
    <w:rsid w:val="003E0437"/>
    <w:rsid w:val="003F4E2E"/>
    <w:rsid w:val="00410A16"/>
    <w:rsid w:val="00421C2A"/>
    <w:rsid w:val="004263BA"/>
    <w:rsid w:val="004301C0"/>
    <w:rsid w:val="004356D6"/>
    <w:rsid w:val="00445D93"/>
    <w:rsid w:val="00461D77"/>
    <w:rsid w:val="00477E3A"/>
    <w:rsid w:val="00494B00"/>
    <w:rsid w:val="004A4F18"/>
    <w:rsid w:val="004A63DC"/>
    <w:rsid w:val="004D59A5"/>
    <w:rsid w:val="004D6BD7"/>
    <w:rsid w:val="004E0998"/>
    <w:rsid w:val="004E6939"/>
    <w:rsid w:val="004F2ECD"/>
    <w:rsid w:val="00514928"/>
    <w:rsid w:val="00527BC5"/>
    <w:rsid w:val="00530A95"/>
    <w:rsid w:val="0053180F"/>
    <w:rsid w:val="005360A3"/>
    <w:rsid w:val="00550CA8"/>
    <w:rsid w:val="00552DDA"/>
    <w:rsid w:val="0055711E"/>
    <w:rsid w:val="00565D8B"/>
    <w:rsid w:val="00565E9C"/>
    <w:rsid w:val="00570ED5"/>
    <w:rsid w:val="005B2E9C"/>
    <w:rsid w:val="005C1703"/>
    <w:rsid w:val="005C27D1"/>
    <w:rsid w:val="005C322D"/>
    <w:rsid w:val="005C6F22"/>
    <w:rsid w:val="005D2648"/>
    <w:rsid w:val="005E0060"/>
    <w:rsid w:val="00606F34"/>
    <w:rsid w:val="00625E6C"/>
    <w:rsid w:val="006264BE"/>
    <w:rsid w:val="006466AD"/>
    <w:rsid w:val="00653A52"/>
    <w:rsid w:val="006554F5"/>
    <w:rsid w:val="00685553"/>
    <w:rsid w:val="006862E0"/>
    <w:rsid w:val="00696366"/>
    <w:rsid w:val="006A1290"/>
    <w:rsid w:val="006A2775"/>
    <w:rsid w:val="006B260B"/>
    <w:rsid w:val="006B3465"/>
    <w:rsid w:val="006C1041"/>
    <w:rsid w:val="006C273E"/>
    <w:rsid w:val="006C78FF"/>
    <w:rsid w:val="006F1EA6"/>
    <w:rsid w:val="0070233C"/>
    <w:rsid w:val="00712749"/>
    <w:rsid w:val="007168C1"/>
    <w:rsid w:val="00720429"/>
    <w:rsid w:val="007206B1"/>
    <w:rsid w:val="00726633"/>
    <w:rsid w:val="00732560"/>
    <w:rsid w:val="007430BB"/>
    <w:rsid w:val="007449BB"/>
    <w:rsid w:val="00752377"/>
    <w:rsid w:val="00757ABB"/>
    <w:rsid w:val="00762048"/>
    <w:rsid w:val="00762EB4"/>
    <w:rsid w:val="00767168"/>
    <w:rsid w:val="00767755"/>
    <w:rsid w:val="0077669D"/>
    <w:rsid w:val="007843BE"/>
    <w:rsid w:val="00791CB6"/>
    <w:rsid w:val="007A2B4A"/>
    <w:rsid w:val="007C191E"/>
    <w:rsid w:val="007C5EBB"/>
    <w:rsid w:val="007D2F78"/>
    <w:rsid w:val="007E7890"/>
    <w:rsid w:val="007F3428"/>
    <w:rsid w:val="007F457C"/>
    <w:rsid w:val="007F7B66"/>
    <w:rsid w:val="00812C7C"/>
    <w:rsid w:val="00813B4B"/>
    <w:rsid w:val="00814BBE"/>
    <w:rsid w:val="008213BA"/>
    <w:rsid w:val="00822806"/>
    <w:rsid w:val="008235AF"/>
    <w:rsid w:val="00843432"/>
    <w:rsid w:val="00843FF5"/>
    <w:rsid w:val="00847A37"/>
    <w:rsid w:val="00850665"/>
    <w:rsid w:val="00853F20"/>
    <w:rsid w:val="0086095C"/>
    <w:rsid w:val="008662AB"/>
    <w:rsid w:val="00873EBD"/>
    <w:rsid w:val="00876C20"/>
    <w:rsid w:val="008913BA"/>
    <w:rsid w:val="008A26DC"/>
    <w:rsid w:val="008A6611"/>
    <w:rsid w:val="008C1D81"/>
    <w:rsid w:val="008C2367"/>
    <w:rsid w:val="008C2718"/>
    <w:rsid w:val="008D556E"/>
    <w:rsid w:val="0091284B"/>
    <w:rsid w:val="00916590"/>
    <w:rsid w:val="009232AB"/>
    <w:rsid w:val="00925D56"/>
    <w:rsid w:val="00940A7D"/>
    <w:rsid w:val="00943AE1"/>
    <w:rsid w:val="009509BA"/>
    <w:rsid w:val="00955203"/>
    <w:rsid w:val="00955DC4"/>
    <w:rsid w:val="00985998"/>
    <w:rsid w:val="009A4E9F"/>
    <w:rsid w:val="009C06E8"/>
    <w:rsid w:val="00A01DEC"/>
    <w:rsid w:val="00A062BE"/>
    <w:rsid w:val="00A12098"/>
    <w:rsid w:val="00A217F3"/>
    <w:rsid w:val="00A4397D"/>
    <w:rsid w:val="00AA5E0E"/>
    <w:rsid w:val="00AB0FCE"/>
    <w:rsid w:val="00AC0E0F"/>
    <w:rsid w:val="00AC2389"/>
    <w:rsid w:val="00AD5FAA"/>
    <w:rsid w:val="00AD73F4"/>
    <w:rsid w:val="00AD76AD"/>
    <w:rsid w:val="00AE087C"/>
    <w:rsid w:val="00AE1580"/>
    <w:rsid w:val="00B30C45"/>
    <w:rsid w:val="00B31202"/>
    <w:rsid w:val="00B4782B"/>
    <w:rsid w:val="00B52108"/>
    <w:rsid w:val="00B52826"/>
    <w:rsid w:val="00B54518"/>
    <w:rsid w:val="00B54E8A"/>
    <w:rsid w:val="00B61674"/>
    <w:rsid w:val="00B73DD3"/>
    <w:rsid w:val="00B817F4"/>
    <w:rsid w:val="00B907A6"/>
    <w:rsid w:val="00B91FB5"/>
    <w:rsid w:val="00BA3A2F"/>
    <w:rsid w:val="00BA3E5F"/>
    <w:rsid w:val="00BE0669"/>
    <w:rsid w:val="00BE115B"/>
    <w:rsid w:val="00BE5D81"/>
    <w:rsid w:val="00BE738D"/>
    <w:rsid w:val="00C04F2A"/>
    <w:rsid w:val="00C079AB"/>
    <w:rsid w:val="00C219FB"/>
    <w:rsid w:val="00C23A35"/>
    <w:rsid w:val="00C25931"/>
    <w:rsid w:val="00C30AE8"/>
    <w:rsid w:val="00C30F6F"/>
    <w:rsid w:val="00C36D2F"/>
    <w:rsid w:val="00C36FE5"/>
    <w:rsid w:val="00C375AA"/>
    <w:rsid w:val="00C46641"/>
    <w:rsid w:val="00C50235"/>
    <w:rsid w:val="00C631FD"/>
    <w:rsid w:val="00C6630B"/>
    <w:rsid w:val="00C66659"/>
    <w:rsid w:val="00C72C86"/>
    <w:rsid w:val="00C86763"/>
    <w:rsid w:val="00C9255A"/>
    <w:rsid w:val="00C96533"/>
    <w:rsid w:val="00C97B84"/>
    <w:rsid w:val="00CB0531"/>
    <w:rsid w:val="00CB060C"/>
    <w:rsid w:val="00CB1C3F"/>
    <w:rsid w:val="00CB2DC6"/>
    <w:rsid w:val="00CB775D"/>
    <w:rsid w:val="00CD1ACC"/>
    <w:rsid w:val="00CF0B8B"/>
    <w:rsid w:val="00D005D0"/>
    <w:rsid w:val="00D035FB"/>
    <w:rsid w:val="00D11789"/>
    <w:rsid w:val="00D17BE3"/>
    <w:rsid w:val="00D257FB"/>
    <w:rsid w:val="00D2607C"/>
    <w:rsid w:val="00D3074D"/>
    <w:rsid w:val="00D46858"/>
    <w:rsid w:val="00D65F3E"/>
    <w:rsid w:val="00D66ABE"/>
    <w:rsid w:val="00D71207"/>
    <w:rsid w:val="00D760A6"/>
    <w:rsid w:val="00DA76D3"/>
    <w:rsid w:val="00DB1ABD"/>
    <w:rsid w:val="00DB3D78"/>
    <w:rsid w:val="00DC47F4"/>
    <w:rsid w:val="00DC7E5B"/>
    <w:rsid w:val="00DD0BCB"/>
    <w:rsid w:val="00DD1583"/>
    <w:rsid w:val="00DD343F"/>
    <w:rsid w:val="00E12599"/>
    <w:rsid w:val="00E1413A"/>
    <w:rsid w:val="00E44059"/>
    <w:rsid w:val="00E4464A"/>
    <w:rsid w:val="00E45DE5"/>
    <w:rsid w:val="00E516F4"/>
    <w:rsid w:val="00E57906"/>
    <w:rsid w:val="00E66A61"/>
    <w:rsid w:val="00E67E02"/>
    <w:rsid w:val="00E77735"/>
    <w:rsid w:val="00E940EC"/>
    <w:rsid w:val="00E95575"/>
    <w:rsid w:val="00E975C1"/>
    <w:rsid w:val="00EB3506"/>
    <w:rsid w:val="00EB5540"/>
    <w:rsid w:val="00ED7574"/>
    <w:rsid w:val="00EE025F"/>
    <w:rsid w:val="00EE4AE7"/>
    <w:rsid w:val="00EE6901"/>
    <w:rsid w:val="00F07189"/>
    <w:rsid w:val="00F30048"/>
    <w:rsid w:val="00F345F7"/>
    <w:rsid w:val="00F408EE"/>
    <w:rsid w:val="00F440FF"/>
    <w:rsid w:val="00F50DB4"/>
    <w:rsid w:val="00F60F10"/>
    <w:rsid w:val="00F74B1A"/>
    <w:rsid w:val="00F75E68"/>
    <w:rsid w:val="00F82A2B"/>
    <w:rsid w:val="00F9125A"/>
    <w:rsid w:val="00FA273E"/>
    <w:rsid w:val="00FA3D87"/>
    <w:rsid w:val="00FA627F"/>
    <w:rsid w:val="00FC0862"/>
    <w:rsid w:val="00FC612F"/>
    <w:rsid w:val="00FD2424"/>
    <w:rsid w:val="00FD6B9B"/>
    <w:rsid w:val="00FE6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0A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A5"/>
    <w:pPr>
      <w:ind w:left="720"/>
      <w:contextualSpacing/>
    </w:pPr>
  </w:style>
  <w:style w:type="table" w:styleId="TableGrid">
    <w:name w:val="Table Grid"/>
    <w:basedOn w:val="TableNormal"/>
    <w:uiPriority w:val="59"/>
    <w:rsid w:val="004D5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5AEF"/>
    <w:rPr>
      <w:sz w:val="16"/>
      <w:szCs w:val="16"/>
    </w:rPr>
  </w:style>
  <w:style w:type="paragraph" w:styleId="CommentText">
    <w:name w:val="annotation text"/>
    <w:basedOn w:val="Normal"/>
    <w:link w:val="CommentTextChar"/>
    <w:uiPriority w:val="99"/>
    <w:unhideWhenUsed/>
    <w:rsid w:val="00065AEF"/>
    <w:rPr>
      <w:sz w:val="20"/>
      <w:szCs w:val="20"/>
    </w:rPr>
  </w:style>
  <w:style w:type="character" w:customStyle="1" w:styleId="CommentTextChar">
    <w:name w:val="Comment Text Char"/>
    <w:basedOn w:val="DefaultParagraphFont"/>
    <w:link w:val="CommentText"/>
    <w:uiPriority w:val="99"/>
    <w:rsid w:val="00065AEF"/>
    <w:rPr>
      <w:sz w:val="20"/>
      <w:szCs w:val="20"/>
    </w:rPr>
  </w:style>
  <w:style w:type="paragraph" w:styleId="CommentSubject">
    <w:name w:val="annotation subject"/>
    <w:basedOn w:val="CommentText"/>
    <w:next w:val="CommentText"/>
    <w:link w:val="CommentSubjectChar"/>
    <w:uiPriority w:val="99"/>
    <w:semiHidden/>
    <w:unhideWhenUsed/>
    <w:rsid w:val="00065AEF"/>
    <w:rPr>
      <w:b/>
      <w:bCs/>
    </w:rPr>
  </w:style>
  <w:style w:type="character" w:customStyle="1" w:styleId="CommentSubjectChar">
    <w:name w:val="Comment Subject Char"/>
    <w:basedOn w:val="CommentTextChar"/>
    <w:link w:val="CommentSubject"/>
    <w:uiPriority w:val="99"/>
    <w:semiHidden/>
    <w:rsid w:val="00065AEF"/>
    <w:rPr>
      <w:b/>
      <w:bCs/>
      <w:sz w:val="20"/>
      <w:szCs w:val="20"/>
    </w:rPr>
  </w:style>
  <w:style w:type="paragraph" w:styleId="BalloonText">
    <w:name w:val="Balloon Text"/>
    <w:basedOn w:val="Normal"/>
    <w:link w:val="BalloonTextChar"/>
    <w:uiPriority w:val="99"/>
    <w:semiHidden/>
    <w:unhideWhenUsed/>
    <w:rsid w:val="00065AEF"/>
    <w:rPr>
      <w:rFonts w:ascii="Tahoma" w:hAnsi="Tahoma" w:cs="Tahoma"/>
      <w:sz w:val="16"/>
      <w:szCs w:val="16"/>
    </w:rPr>
  </w:style>
  <w:style w:type="character" w:customStyle="1" w:styleId="BalloonTextChar">
    <w:name w:val="Balloon Text Char"/>
    <w:basedOn w:val="DefaultParagraphFont"/>
    <w:link w:val="BalloonText"/>
    <w:uiPriority w:val="99"/>
    <w:semiHidden/>
    <w:rsid w:val="00065AEF"/>
    <w:rPr>
      <w:rFonts w:ascii="Tahoma" w:hAnsi="Tahoma" w:cs="Tahoma"/>
      <w:sz w:val="16"/>
      <w:szCs w:val="16"/>
    </w:rPr>
  </w:style>
  <w:style w:type="paragraph" w:styleId="Header">
    <w:name w:val="header"/>
    <w:basedOn w:val="Normal"/>
    <w:link w:val="HeaderChar"/>
    <w:uiPriority w:val="99"/>
    <w:unhideWhenUsed/>
    <w:rsid w:val="00E44059"/>
    <w:pPr>
      <w:tabs>
        <w:tab w:val="center" w:pos="4320"/>
        <w:tab w:val="right" w:pos="8640"/>
      </w:tabs>
    </w:pPr>
  </w:style>
  <w:style w:type="character" w:customStyle="1" w:styleId="HeaderChar">
    <w:name w:val="Header Char"/>
    <w:basedOn w:val="DefaultParagraphFont"/>
    <w:link w:val="Header"/>
    <w:uiPriority w:val="99"/>
    <w:rsid w:val="00E44059"/>
  </w:style>
  <w:style w:type="character" w:styleId="PageNumber">
    <w:name w:val="page number"/>
    <w:basedOn w:val="DefaultParagraphFont"/>
    <w:uiPriority w:val="99"/>
    <w:semiHidden/>
    <w:unhideWhenUsed/>
    <w:rsid w:val="00E44059"/>
  </w:style>
  <w:style w:type="paragraph" w:styleId="Footer">
    <w:name w:val="footer"/>
    <w:basedOn w:val="Normal"/>
    <w:link w:val="FooterChar"/>
    <w:uiPriority w:val="99"/>
    <w:unhideWhenUsed/>
    <w:rsid w:val="002A187B"/>
    <w:pPr>
      <w:tabs>
        <w:tab w:val="center" w:pos="4320"/>
        <w:tab w:val="right" w:pos="8640"/>
      </w:tabs>
    </w:pPr>
  </w:style>
  <w:style w:type="character" w:customStyle="1" w:styleId="FooterChar">
    <w:name w:val="Footer Char"/>
    <w:basedOn w:val="DefaultParagraphFont"/>
    <w:link w:val="Footer"/>
    <w:uiPriority w:val="99"/>
    <w:rsid w:val="002A187B"/>
  </w:style>
  <w:style w:type="character" w:styleId="LineNumber">
    <w:name w:val="line number"/>
    <w:basedOn w:val="DefaultParagraphFont"/>
    <w:uiPriority w:val="99"/>
    <w:semiHidden/>
    <w:unhideWhenUsed/>
    <w:rsid w:val="002902EB"/>
  </w:style>
  <w:style w:type="paragraph" w:styleId="Revision">
    <w:name w:val="Revision"/>
    <w:hidden/>
    <w:uiPriority w:val="99"/>
    <w:semiHidden/>
    <w:rsid w:val="00B54518"/>
  </w:style>
  <w:style w:type="character" w:styleId="Hyperlink">
    <w:name w:val="Hyperlink"/>
    <w:basedOn w:val="DefaultParagraphFont"/>
    <w:uiPriority w:val="99"/>
    <w:unhideWhenUsed/>
    <w:rsid w:val="0003146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9A5"/>
    <w:pPr>
      <w:ind w:left="720"/>
      <w:contextualSpacing/>
    </w:pPr>
  </w:style>
  <w:style w:type="table" w:styleId="TableGrid">
    <w:name w:val="Table Grid"/>
    <w:basedOn w:val="TableNormal"/>
    <w:uiPriority w:val="59"/>
    <w:rsid w:val="004D5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65AEF"/>
    <w:rPr>
      <w:sz w:val="16"/>
      <w:szCs w:val="16"/>
    </w:rPr>
  </w:style>
  <w:style w:type="paragraph" w:styleId="CommentText">
    <w:name w:val="annotation text"/>
    <w:basedOn w:val="Normal"/>
    <w:link w:val="CommentTextChar"/>
    <w:uiPriority w:val="99"/>
    <w:unhideWhenUsed/>
    <w:rsid w:val="00065AEF"/>
    <w:rPr>
      <w:sz w:val="20"/>
      <w:szCs w:val="20"/>
    </w:rPr>
  </w:style>
  <w:style w:type="character" w:customStyle="1" w:styleId="CommentTextChar">
    <w:name w:val="Comment Text Char"/>
    <w:basedOn w:val="DefaultParagraphFont"/>
    <w:link w:val="CommentText"/>
    <w:uiPriority w:val="99"/>
    <w:rsid w:val="00065AEF"/>
    <w:rPr>
      <w:sz w:val="20"/>
      <w:szCs w:val="20"/>
    </w:rPr>
  </w:style>
  <w:style w:type="paragraph" w:styleId="CommentSubject">
    <w:name w:val="annotation subject"/>
    <w:basedOn w:val="CommentText"/>
    <w:next w:val="CommentText"/>
    <w:link w:val="CommentSubjectChar"/>
    <w:uiPriority w:val="99"/>
    <w:semiHidden/>
    <w:unhideWhenUsed/>
    <w:rsid w:val="00065AEF"/>
    <w:rPr>
      <w:b/>
      <w:bCs/>
    </w:rPr>
  </w:style>
  <w:style w:type="character" w:customStyle="1" w:styleId="CommentSubjectChar">
    <w:name w:val="Comment Subject Char"/>
    <w:basedOn w:val="CommentTextChar"/>
    <w:link w:val="CommentSubject"/>
    <w:uiPriority w:val="99"/>
    <w:semiHidden/>
    <w:rsid w:val="00065AEF"/>
    <w:rPr>
      <w:b/>
      <w:bCs/>
      <w:sz w:val="20"/>
      <w:szCs w:val="20"/>
    </w:rPr>
  </w:style>
  <w:style w:type="paragraph" w:styleId="BalloonText">
    <w:name w:val="Balloon Text"/>
    <w:basedOn w:val="Normal"/>
    <w:link w:val="BalloonTextChar"/>
    <w:uiPriority w:val="99"/>
    <w:semiHidden/>
    <w:unhideWhenUsed/>
    <w:rsid w:val="00065AEF"/>
    <w:rPr>
      <w:rFonts w:ascii="Tahoma" w:hAnsi="Tahoma" w:cs="Tahoma"/>
      <w:sz w:val="16"/>
      <w:szCs w:val="16"/>
    </w:rPr>
  </w:style>
  <w:style w:type="character" w:customStyle="1" w:styleId="BalloonTextChar">
    <w:name w:val="Balloon Text Char"/>
    <w:basedOn w:val="DefaultParagraphFont"/>
    <w:link w:val="BalloonText"/>
    <w:uiPriority w:val="99"/>
    <w:semiHidden/>
    <w:rsid w:val="00065AEF"/>
    <w:rPr>
      <w:rFonts w:ascii="Tahoma" w:hAnsi="Tahoma" w:cs="Tahoma"/>
      <w:sz w:val="16"/>
      <w:szCs w:val="16"/>
    </w:rPr>
  </w:style>
  <w:style w:type="paragraph" w:styleId="Header">
    <w:name w:val="header"/>
    <w:basedOn w:val="Normal"/>
    <w:link w:val="HeaderChar"/>
    <w:uiPriority w:val="99"/>
    <w:unhideWhenUsed/>
    <w:rsid w:val="00E44059"/>
    <w:pPr>
      <w:tabs>
        <w:tab w:val="center" w:pos="4320"/>
        <w:tab w:val="right" w:pos="8640"/>
      </w:tabs>
    </w:pPr>
  </w:style>
  <w:style w:type="character" w:customStyle="1" w:styleId="HeaderChar">
    <w:name w:val="Header Char"/>
    <w:basedOn w:val="DefaultParagraphFont"/>
    <w:link w:val="Header"/>
    <w:uiPriority w:val="99"/>
    <w:rsid w:val="00E44059"/>
  </w:style>
  <w:style w:type="character" w:styleId="PageNumber">
    <w:name w:val="page number"/>
    <w:basedOn w:val="DefaultParagraphFont"/>
    <w:uiPriority w:val="99"/>
    <w:semiHidden/>
    <w:unhideWhenUsed/>
    <w:rsid w:val="00E44059"/>
  </w:style>
  <w:style w:type="paragraph" w:styleId="Footer">
    <w:name w:val="footer"/>
    <w:basedOn w:val="Normal"/>
    <w:link w:val="FooterChar"/>
    <w:uiPriority w:val="99"/>
    <w:unhideWhenUsed/>
    <w:rsid w:val="002A187B"/>
    <w:pPr>
      <w:tabs>
        <w:tab w:val="center" w:pos="4320"/>
        <w:tab w:val="right" w:pos="8640"/>
      </w:tabs>
    </w:pPr>
  </w:style>
  <w:style w:type="character" w:customStyle="1" w:styleId="FooterChar">
    <w:name w:val="Footer Char"/>
    <w:basedOn w:val="DefaultParagraphFont"/>
    <w:link w:val="Footer"/>
    <w:uiPriority w:val="99"/>
    <w:rsid w:val="002A187B"/>
  </w:style>
  <w:style w:type="character" w:styleId="LineNumber">
    <w:name w:val="line number"/>
    <w:basedOn w:val="DefaultParagraphFont"/>
    <w:uiPriority w:val="99"/>
    <w:semiHidden/>
    <w:unhideWhenUsed/>
    <w:rsid w:val="002902EB"/>
  </w:style>
  <w:style w:type="paragraph" w:styleId="Revision">
    <w:name w:val="Revision"/>
    <w:hidden/>
    <w:uiPriority w:val="99"/>
    <w:semiHidden/>
    <w:rsid w:val="00B54518"/>
  </w:style>
  <w:style w:type="character" w:styleId="Hyperlink">
    <w:name w:val="Hyperlink"/>
    <w:basedOn w:val="DefaultParagraphFont"/>
    <w:uiPriority w:val="99"/>
    <w:unhideWhenUsed/>
    <w:rsid w:val="000314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9036">
      <w:bodyDiv w:val="1"/>
      <w:marLeft w:val="0"/>
      <w:marRight w:val="0"/>
      <w:marTop w:val="0"/>
      <w:marBottom w:val="0"/>
      <w:divBdr>
        <w:top w:val="none" w:sz="0" w:space="0" w:color="auto"/>
        <w:left w:val="none" w:sz="0" w:space="0" w:color="auto"/>
        <w:bottom w:val="none" w:sz="0" w:space="0" w:color="auto"/>
        <w:right w:val="none" w:sz="0" w:space="0" w:color="auto"/>
      </w:divBdr>
    </w:div>
    <w:div w:id="185019062">
      <w:bodyDiv w:val="1"/>
      <w:marLeft w:val="0"/>
      <w:marRight w:val="0"/>
      <w:marTop w:val="0"/>
      <w:marBottom w:val="0"/>
      <w:divBdr>
        <w:top w:val="none" w:sz="0" w:space="0" w:color="auto"/>
        <w:left w:val="none" w:sz="0" w:space="0" w:color="auto"/>
        <w:bottom w:val="none" w:sz="0" w:space="0" w:color="auto"/>
        <w:right w:val="none" w:sz="0" w:space="0" w:color="auto"/>
      </w:divBdr>
    </w:div>
    <w:div w:id="273442102">
      <w:bodyDiv w:val="1"/>
      <w:marLeft w:val="0"/>
      <w:marRight w:val="0"/>
      <w:marTop w:val="0"/>
      <w:marBottom w:val="0"/>
      <w:divBdr>
        <w:top w:val="none" w:sz="0" w:space="0" w:color="auto"/>
        <w:left w:val="none" w:sz="0" w:space="0" w:color="auto"/>
        <w:bottom w:val="none" w:sz="0" w:space="0" w:color="auto"/>
        <w:right w:val="none" w:sz="0" w:space="0" w:color="auto"/>
      </w:divBdr>
    </w:div>
    <w:div w:id="337851918">
      <w:bodyDiv w:val="1"/>
      <w:marLeft w:val="0"/>
      <w:marRight w:val="0"/>
      <w:marTop w:val="0"/>
      <w:marBottom w:val="0"/>
      <w:divBdr>
        <w:top w:val="none" w:sz="0" w:space="0" w:color="auto"/>
        <w:left w:val="none" w:sz="0" w:space="0" w:color="auto"/>
        <w:bottom w:val="none" w:sz="0" w:space="0" w:color="auto"/>
        <w:right w:val="none" w:sz="0" w:space="0" w:color="auto"/>
      </w:divBdr>
    </w:div>
    <w:div w:id="490485119">
      <w:bodyDiv w:val="1"/>
      <w:marLeft w:val="0"/>
      <w:marRight w:val="0"/>
      <w:marTop w:val="0"/>
      <w:marBottom w:val="0"/>
      <w:divBdr>
        <w:top w:val="none" w:sz="0" w:space="0" w:color="auto"/>
        <w:left w:val="none" w:sz="0" w:space="0" w:color="auto"/>
        <w:bottom w:val="none" w:sz="0" w:space="0" w:color="auto"/>
        <w:right w:val="none" w:sz="0" w:space="0" w:color="auto"/>
      </w:divBdr>
    </w:div>
    <w:div w:id="580022099">
      <w:bodyDiv w:val="1"/>
      <w:marLeft w:val="0"/>
      <w:marRight w:val="0"/>
      <w:marTop w:val="0"/>
      <w:marBottom w:val="0"/>
      <w:divBdr>
        <w:top w:val="none" w:sz="0" w:space="0" w:color="auto"/>
        <w:left w:val="none" w:sz="0" w:space="0" w:color="auto"/>
        <w:bottom w:val="none" w:sz="0" w:space="0" w:color="auto"/>
        <w:right w:val="none" w:sz="0" w:space="0" w:color="auto"/>
      </w:divBdr>
      <w:divsChild>
        <w:div w:id="2046981129">
          <w:marLeft w:val="907"/>
          <w:marRight w:val="0"/>
          <w:marTop w:val="0"/>
          <w:marBottom w:val="0"/>
          <w:divBdr>
            <w:top w:val="none" w:sz="0" w:space="0" w:color="auto"/>
            <w:left w:val="none" w:sz="0" w:space="0" w:color="auto"/>
            <w:bottom w:val="none" w:sz="0" w:space="0" w:color="auto"/>
            <w:right w:val="none" w:sz="0" w:space="0" w:color="auto"/>
          </w:divBdr>
        </w:div>
      </w:divsChild>
    </w:div>
    <w:div w:id="681275168">
      <w:bodyDiv w:val="1"/>
      <w:marLeft w:val="0"/>
      <w:marRight w:val="0"/>
      <w:marTop w:val="0"/>
      <w:marBottom w:val="0"/>
      <w:divBdr>
        <w:top w:val="none" w:sz="0" w:space="0" w:color="auto"/>
        <w:left w:val="none" w:sz="0" w:space="0" w:color="auto"/>
        <w:bottom w:val="none" w:sz="0" w:space="0" w:color="auto"/>
        <w:right w:val="none" w:sz="0" w:space="0" w:color="auto"/>
      </w:divBdr>
      <w:divsChild>
        <w:div w:id="1941058420">
          <w:marLeft w:val="907"/>
          <w:marRight w:val="0"/>
          <w:marTop w:val="0"/>
          <w:marBottom w:val="0"/>
          <w:divBdr>
            <w:top w:val="none" w:sz="0" w:space="0" w:color="auto"/>
            <w:left w:val="none" w:sz="0" w:space="0" w:color="auto"/>
            <w:bottom w:val="none" w:sz="0" w:space="0" w:color="auto"/>
            <w:right w:val="none" w:sz="0" w:space="0" w:color="auto"/>
          </w:divBdr>
        </w:div>
        <w:div w:id="1024670669">
          <w:marLeft w:val="907"/>
          <w:marRight w:val="0"/>
          <w:marTop w:val="0"/>
          <w:marBottom w:val="0"/>
          <w:divBdr>
            <w:top w:val="none" w:sz="0" w:space="0" w:color="auto"/>
            <w:left w:val="none" w:sz="0" w:space="0" w:color="auto"/>
            <w:bottom w:val="none" w:sz="0" w:space="0" w:color="auto"/>
            <w:right w:val="none" w:sz="0" w:space="0" w:color="auto"/>
          </w:divBdr>
        </w:div>
        <w:div w:id="888224826">
          <w:marLeft w:val="907"/>
          <w:marRight w:val="0"/>
          <w:marTop w:val="0"/>
          <w:marBottom w:val="0"/>
          <w:divBdr>
            <w:top w:val="none" w:sz="0" w:space="0" w:color="auto"/>
            <w:left w:val="none" w:sz="0" w:space="0" w:color="auto"/>
            <w:bottom w:val="none" w:sz="0" w:space="0" w:color="auto"/>
            <w:right w:val="none" w:sz="0" w:space="0" w:color="auto"/>
          </w:divBdr>
        </w:div>
      </w:divsChild>
    </w:div>
    <w:div w:id="1176459651">
      <w:bodyDiv w:val="1"/>
      <w:marLeft w:val="0"/>
      <w:marRight w:val="0"/>
      <w:marTop w:val="0"/>
      <w:marBottom w:val="0"/>
      <w:divBdr>
        <w:top w:val="none" w:sz="0" w:space="0" w:color="auto"/>
        <w:left w:val="none" w:sz="0" w:space="0" w:color="auto"/>
        <w:bottom w:val="none" w:sz="0" w:space="0" w:color="auto"/>
        <w:right w:val="none" w:sz="0" w:space="0" w:color="auto"/>
      </w:divBdr>
      <w:divsChild>
        <w:div w:id="690686093">
          <w:marLeft w:val="907"/>
          <w:marRight w:val="0"/>
          <w:marTop w:val="0"/>
          <w:marBottom w:val="0"/>
          <w:divBdr>
            <w:top w:val="none" w:sz="0" w:space="0" w:color="auto"/>
            <w:left w:val="none" w:sz="0" w:space="0" w:color="auto"/>
            <w:bottom w:val="none" w:sz="0" w:space="0" w:color="auto"/>
            <w:right w:val="none" w:sz="0" w:space="0" w:color="auto"/>
          </w:divBdr>
        </w:div>
        <w:div w:id="815412041">
          <w:marLeft w:val="907"/>
          <w:marRight w:val="0"/>
          <w:marTop w:val="0"/>
          <w:marBottom w:val="0"/>
          <w:divBdr>
            <w:top w:val="none" w:sz="0" w:space="0" w:color="auto"/>
            <w:left w:val="none" w:sz="0" w:space="0" w:color="auto"/>
            <w:bottom w:val="none" w:sz="0" w:space="0" w:color="auto"/>
            <w:right w:val="none" w:sz="0" w:space="0" w:color="auto"/>
          </w:divBdr>
        </w:div>
        <w:div w:id="137958577">
          <w:marLeft w:val="907"/>
          <w:marRight w:val="0"/>
          <w:marTop w:val="0"/>
          <w:marBottom w:val="0"/>
          <w:divBdr>
            <w:top w:val="none" w:sz="0" w:space="0" w:color="auto"/>
            <w:left w:val="none" w:sz="0" w:space="0" w:color="auto"/>
            <w:bottom w:val="none" w:sz="0" w:space="0" w:color="auto"/>
            <w:right w:val="none" w:sz="0" w:space="0" w:color="auto"/>
          </w:divBdr>
        </w:div>
      </w:divsChild>
    </w:div>
    <w:div w:id="1729259114">
      <w:bodyDiv w:val="1"/>
      <w:marLeft w:val="0"/>
      <w:marRight w:val="0"/>
      <w:marTop w:val="0"/>
      <w:marBottom w:val="0"/>
      <w:divBdr>
        <w:top w:val="none" w:sz="0" w:space="0" w:color="auto"/>
        <w:left w:val="none" w:sz="0" w:space="0" w:color="auto"/>
        <w:bottom w:val="none" w:sz="0" w:space="0" w:color="auto"/>
        <w:right w:val="none" w:sz="0" w:space="0" w:color="auto"/>
      </w:divBdr>
      <w:divsChild>
        <w:div w:id="651567121">
          <w:marLeft w:val="907"/>
          <w:marRight w:val="0"/>
          <w:marTop w:val="0"/>
          <w:marBottom w:val="0"/>
          <w:divBdr>
            <w:top w:val="none" w:sz="0" w:space="0" w:color="auto"/>
            <w:left w:val="none" w:sz="0" w:space="0" w:color="auto"/>
            <w:bottom w:val="none" w:sz="0" w:space="0" w:color="auto"/>
            <w:right w:val="none" w:sz="0" w:space="0" w:color="auto"/>
          </w:divBdr>
        </w:div>
        <w:div w:id="1518235268">
          <w:marLeft w:val="907"/>
          <w:marRight w:val="0"/>
          <w:marTop w:val="0"/>
          <w:marBottom w:val="0"/>
          <w:divBdr>
            <w:top w:val="none" w:sz="0" w:space="0" w:color="auto"/>
            <w:left w:val="none" w:sz="0" w:space="0" w:color="auto"/>
            <w:bottom w:val="none" w:sz="0" w:space="0" w:color="auto"/>
            <w:right w:val="none" w:sz="0" w:space="0" w:color="auto"/>
          </w:divBdr>
        </w:div>
        <w:div w:id="2125687514">
          <w:marLeft w:val="907"/>
          <w:marRight w:val="0"/>
          <w:marTop w:val="0"/>
          <w:marBottom w:val="0"/>
          <w:divBdr>
            <w:top w:val="none" w:sz="0" w:space="0" w:color="auto"/>
            <w:left w:val="none" w:sz="0" w:space="0" w:color="auto"/>
            <w:bottom w:val="none" w:sz="0" w:space="0" w:color="auto"/>
            <w:right w:val="none" w:sz="0" w:space="0" w:color="auto"/>
          </w:divBdr>
        </w:div>
      </w:divsChild>
    </w:div>
    <w:div w:id="2022589665">
      <w:bodyDiv w:val="1"/>
      <w:marLeft w:val="0"/>
      <w:marRight w:val="0"/>
      <w:marTop w:val="0"/>
      <w:marBottom w:val="0"/>
      <w:divBdr>
        <w:top w:val="none" w:sz="0" w:space="0" w:color="auto"/>
        <w:left w:val="none" w:sz="0" w:space="0" w:color="auto"/>
        <w:bottom w:val="none" w:sz="0" w:space="0" w:color="auto"/>
        <w:right w:val="none" w:sz="0" w:space="0" w:color="auto"/>
      </w:divBdr>
      <w:divsChild>
        <w:div w:id="1537352945">
          <w:marLeft w:val="907"/>
          <w:marRight w:val="0"/>
          <w:marTop w:val="0"/>
          <w:marBottom w:val="0"/>
          <w:divBdr>
            <w:top w:val="none" w:sz="0" w:space="0" w:color="auto"/>
            <w:left w:val="none" w:sz="0" w:space="0" w:color="auto"/>
            <w:bottom w:val="none" w:sz="0" w:space="0" w:color="auto"/>
            <w:right w:val="none" w:sz="0" w:space="0" w:color="auto"/>
          </w:divBdr>
        </w:div>
        <w:div w:id="615211091">
          <w:marLeft w:val="907"/>
          <w:marRight w:val="0"/>
          <w:marTop w:val="0"/>
          <w:marBottom w:val="0"/>
          <w:divBdr>
            <w:top w:val="none" w:sz="0" w:space="0" w:color="auto"/>
            <w:left w:val="none" w:sz="0" w:space="0" w:color="auto"/>
            <w:bottom w:val="none" w:sz="0" w:space="0" w:color="auto"/>
            <w:right w:val="none" w:sz="0" w:space="0" w:color="auto"/>
          </w:divBdr>
        </w:div>
        <w:div w:id="678846587">
          <w:marLeft w:val="907"/>
          <w:marRight w:val="0"/>
          <w:marTop w:val="0"/>
          <w:marBottom w:val="0"/>
          <w:divBdr>
            <w:top w:val="none" w:sz="0" w:space="0" w:color="auto"/>
            <w:left w:val="none" w:sz="0" w:space="0" w:color="auto"/>
            <w:bottom w:val="none" w:sz="0" w:space="0" w:color="auto"/>
            <w:right w:val="none" w:sz="0" w:space="0" w:color="auto"/>
          </w:divBdr>
        </w:div>
      </w:divsChild>
    </w:div>
    <w:div w:id="20773189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chart" Target="charts/chart1.xml"/><Relationship Id="rId14" Type="http://schemas.openxmlformats.org/officeDocument/2006/relationships/chart" Target="charts/chart2.xml"/><Relationship Id="rId15" Type="http://schemas.openxmlformats.org/officeDocument/2006/relationships/image" Target="media/image1.png"/><Relationship Id="rId16" Type="http://schemas.openxmlformats.org/officeDocument/2006/relationships/image" Target="media/image2.pn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LilyHoang:Desktop:Mobley:Lily%20Hoang%20Research%20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LilyHoang:Desktop:Mobley:Lily%20Hoang%20Research%20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Oral Health Status</a:t>
            </a:r>
          </a:p>
        </c:rich>
      </c:tx>
      <c:overlay val="0"/>
    </c:title>
    <c:autoTitleDeleted val="0"/>
    <c:plotArea>
      <c:layout/>
      <c:barChart>
        <c:barDir val="col"/>
        <c:grouping val="clustered"/>
        <c:varyColors val="0"/>
        <c:ser>
          <c:idx val="0"/>
          <c:order val="0"/>
          <c:tx>
            <c:strRef>
              <c:f>Sheet1!$A$3</c:f>
              <c:strCache>
                <c:ptCount val="1"/>
                <c:pt idx="0">
                  <c:v>Participated in WIC / Head Start</c:v>
                </c:pt>
              </c:strCache>
            </c:strRef>
          </c:tx>
          <c:invertIfNegative val="0"/>
          <c:cat>
            <c:strRef>
              <c:f>Sheet1!$B$1:$D$2</c:f>
              <c:strCache>
                <c:ptCount val="3"/>
                <c:pt idx="0">
                  <c:v>Untreated Decay</c:v>
                </c:pt>
                <c:pt idx="1">
                  <c:v>Caries Experience</c:v>
                </c:pt>
                <c:pt idx="2">
                  <c:v>Sealants</c:v>
                </c:pt>
              </c:strCache>
            </c:strRef>
          </c:cat>
          <c:val>
            <c:numRef>
              <c:f>Sheet1!$B$3:$D$3</c:f>
              <c:numCache>
                <c:formatCode>General</c:formatCode>
                <c:ptCount val="3"/>
                <c:pt idx="0">
                  <c:v>69.0</c:v>
                </c:pt>
                <c:pt idx="1">
                  <c:v>80.0</c:v>
                </c:pt>
                <c:pt idx="2">
                  <c:v>30.0</c:v>
                </c:pt>
              </c:numCache>
            </c:numRef>
          </c:val>
        </c:ser>
        <c:ser>
          <c:idx val="1"/>
          <c:order val="1"/>
          <c:tx>
            <c:strRef>
              <c:f>Sheet1!$A$4</c:f>
              <c:strCache>
                <c:ptCount val="1"/>
                <c:pt idx="0">
                  <c:v>Participated in Neither Program</c:v>
                </c:pt>
              </c:strCache>
            </c:strRef>
          </c:tx>
          <c:invertIfNegative val="0"/>
          <c:cat>
            <c:strRef>
              <c:f>Sheet1!$B$1:$D$2</c:f>
              <c:strCache>
                <c:ptCount val="3"/>
                <c:pt idx="0">
                  <c:v>Untreated Decay</c:v>
                </c:pt>
                <c:pt idx="1">
                  <c:v>Caries Experience</c:v>
                </c:pt>
                <c:pt idx="2">
                  <c:v>Sealants</c:v>
                </c:pt>
              </c:strCache>
            </c:strRef>
          </c:cat>
          <c:val>
            <c:numRef>
              <c:f>Sheet1!$B$4:$D$4</c:f>
              <c:numCache>
                <c:formatCode>General</c:formatCode>
                <c:ptCount val="3"/>
                <c:pt idx="0">
                  <c:v>54.0</c:v>
                </c:pt>
                <c:pt idx="1">
                  <c:v>72.0</c:v>
                </c:pt>
                <c:pt idx="2">
                  <c:v>28.0</c:v>
                </c:pt>
              </c:numCache>
            </c:numRef>
          </c:val>
        </c:ser>
        <c:dLbls>
          <c:showLegendKey val="0"/>
          <c:showVal val="0"/>
          <c:showCatName val="0"/>
          <c:showSerName val="0"/>
          <c:showPercent val="0"/>
          <c:showBubbleSize val="0"/>
        </c:dLbls>
        <c:gapWidth val="150"/>
        <c:axId val="2079329832"/>
        <c:axId val="2118820024"/>
      </c:barChart>
      <c:catAx>
        <c:axId val="2079329832"/>
        <c:scaling>
          <c:orientation val="minMax"/>
        </c:scaling>
        <c:delete val="0"/>
        <c:axPos val="b"/>
        <c:majorTickMark val="out"/>
        <c:minorTickMark val="none"/>
        <c:tickLblPos val="nextTo"/>
        <c:crossAx val="2118820024"/>
        <c:crosses val="autoZero"/>
        <c:auto val="1"/>
        <c:lblAlgn val="ctr"/>
        <c:lblOffset val="100"/>
        <c:noMultiLvlLbl val="0"/>
      </c:catAx>
      <c:valAx>
        <c:axId val="2118820024"/>
        <c:scaling>
          <c:orientation val="minMax"/>
        </c:scaling>
        <c:delete val="0"/>
        <c:axPos val="l"/>
        <c:majorGridlines/>
        <c:title>
          <c:tx>
            <c:rich>
              <a:bodyPr rot="-5400000" vert="horz"/>
              <a:lstStyle/>
              <a:p>
                <a:pPr>
                  <a:defRPr/>
                </a:pPr>
                <a:r>
                  <a:rPr lang="en-US"/>
                  <a:t>Number</a:t>
                </a:r>
                <a:r>
                  <a:rPr lang="en-US" baseline="0"/>
                  <a:t> of Chidlren</a:t>
                </a:r>
                <a:endParaRPr lang="en-US"/>
              </a:p>
            </c:rich>
          </c:tx>
          <c:overlay val="0"/>
        </c:title>
        <c:numFmt formatCode="General" sourceLinked="1"/>
        <c:majorTickMark val="out"/>
        <c:minorTickMark val="none"/>
        <c:tickLblPos val="nextTo"/>
        <c:crossAx val="207932983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Oral Health Status</a:t>
            </a:r>
          </a:p>
        </c:rich>
      </c:tx>
      <c:overlay val="0"/>
    </c:title>
    <c:autoTitleDeleted val="0"/>
    <c:plotArea>
      <c:layout/>
      <c:barChart>
        <c:barDir val="col"/>
        <c:grouping val="clustered"/>
        <c:varyColors val="0"/>
        <c:ser>
          <c:idx val="0"/>
          <c:order val="0"/>
          <c:tx>
            <c:strRef>
              <c:f>Sheet1!$A$3</c:f>
              <c:strCache>
                <c:ptCount val="1"/>
                <c:pt idx="0">
                  <c:v>Participated in WIC / Head Start</c:v>
                </c:pt>
              </c:strCache>
            </c:strRef>
          </c:tx>
          <c:invertIfNegative val="0"/>
          <c:cat>
            <c:strRef>
              <c:f>Sheet1!$B$1:$D$2</c:f>
              <c:strCache>
                <c:ptCount val="3"/>
                <c:pt idx="0">
                  <c:v>Untreated Decay</c:v>
                </c:pt>
                <c:pt idx="1">
                  <c:v>Caries Experience</c:v>
                </c:pt>
                <c:pt idx="2">
                  <c:v>Sealants</c:v>
                </c:pt>
              </c:strCache>
            </c:strRef>
          </c:cat>
          <c:val>
            <c:numRef>
              <c:f>Sheet1!$B$3:$D$3</c:f>
              <c:numCache>
                <c:formatCode>General</c:formatCode>
                <c:ptCount val="3"/>
                <c:pt idx="0">
                  <c:v>69.0</c:v>
                </c:pt>
                <c:pt idx="1">
                  <c:v>80.0</c:v>
                </c:pt>
                <c:pt idx="2">
                  <c:v>30.0</c:v>
                </c:pt>
              </c:numCache>
            </c:numRef>
          </c:val>
        </c:ser>
        <c:ser>
          <c:idx val="1"/>
          <c:order val="1"/>
          <c:tx>
            <c:strRef>
              <c:f>Sheet1!$A$4</c:f>
              <c:strCache>
                <c:ptCount val="1"/>
                <c:pt idx="0">
                  <c:v>Participated in Neither Program</c:v>
                </c:pt>
              </c:strCache>
            </c:strRef>
          </c:tx>
          <c:invertIfNegative val="0"/>
          <c:cat>
            <c:strRef>
              <c:f>Sheet1!$B$1:$D$2</c:f>
              <c:strCache>
                <c:ptCount val="3"/>
                <c:pt idx="0">
                  <c:v>Untreated Decay</c:v>
                </c:pt>
                <c:pt idx="1">
                  <c:v>Caries Experience</c:v>
                </c:pt>
                <c:pt idx="2">
                  <c:v>Sealants</c:v>
                </c:pt>
              </c:strCache>
            </c:strRef>
          </c:cat>
          <c:val>
            <c:numRef>
              <c:f>Sheet1!$B$4:$D$4</c:f>
              <c:numCache>
                <c:formatCode>General</c:formatCode>
                <c:ptCount val="3"/>
                <c:pt idx="0">
                  <c:v>54.0</c:v>
                </c:pt>
                <c:pt idx="1">
                  <c:v>72.0</c:v>
                </c:pt>
                <c:pt idx="2">
                  <c:v>28.0</c:v>
                </c:pt>
              </c:numCache>
            </c:numRef>
          </c:val>
        </c:ser>
        <c:dLbls>
          <c:showLegendKey val="0"/>
          <c:showVal val="0"/>
          <c:showCatName val="0"/>
          <c:showSerName val="0"/>
          <c:showPercent val="0"/>
          <c:showBubbleSize val="0"/>
        </c:dLbls>
        <c:gapWidth val="150"/>
        <c:axId val="2117502712"/>
        <c:axId val="2117398408"/>
      </c:barChart>
      <c:catAx>
        <c:axId val="2117502712"/>
        <c:scaling>
          <c:orientation val="minMax"/>
        </c:scaling>
        <c:delete val="0"/>
        <c:axPos val="b"/>
        <c:majorTickMark val="out"/>
        <c:minorTickMark val="none"/>
        <c:tickLblPos val="nextTo"/>
        <c:crossAx val="2117398408"/>
        <c:crosses val="autoZero"/>
        <c:auto val="1"/>
        <c:lblAlgn val="ctr"/>
        <c:lblOffset val="100"/>
        <c:noMultiLvlLbl val="0"/>
      </c:catAx>
      <c:valAx>
        <c:axId val="2117398408"/>
        <c:scaling>
          <c:orientation val="minMax"/>
        </c:scaling>
        <c:delete val="0"/>
        <c:axPos val="l"/>
        <c:majorGridlines/>
        <c:title>
          <c:tx>
            <c:rich>
              <a:bodyPr rot="-5400000" vert="horz"/>
              <a:lstStyle/>
              <a:p>
                <a:pPr>
                  <a:defRPr/>
                </a:pPr>
                <a:r>
                  <a:rPr lang="en-US"/>
                  <a:t>Number</a:t>
                </a:r>
                <a:r>
                  <a:rPr lang="en-US" baseline="0"/>
                  <a:t> of Chidlren</a:t>
                </a:r>
                <a:endParaRPr lang="en-US"/>
              </a:p>
            </c:rich>
          </c:tx>
          <c:overlay val="0"/>
        </c:title>
        <c:numFmt formatCode="General" sourceLinked="1"/>
        <c:majorTickMark val="out"/>
        <c:minorTickMark val="none"/>
        <c:tickLblPos val="nextTo"/>
        <c:crossAx val="211750271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E0D8-5BDE-D247-933F-625E87A9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3510</Words>
  <Characters>20007</Characters>
  <Application>Microsoft Macintosh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UNLV School of Dental Medicine</Company>
  <LinksUpToDate>false</LinksUpToDate>
  <CharactersWithSpaces>23471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Hoang</dc:creator>
  <cp:lastModifiedBy>Jennifer Bennett</cp:lastModifiedBy>
  <cp:revision>2</cp:revision>
  <cp:lastPrinted>2016-09-20T16:03:00Z</cp:lastPrinted>
  <dcterms:created xsi:type="dcterms:W3CDTF">2016-09-29T22:58:00Z</dcterms:created>
  <dcterms:modified xsi:type="dcterms:W3CDTF">2016-09-29T22:58:00Z</dcterms:modified>
</cp:coreProperties>
</file>